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BImSchV 13 2013 — Emissionsgrenzwerte für Gasturbinenanlagen</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(1) Gasturbinenanlagen sind so zu errichten und zu betreiben, dass die Anforderungen</w:t>
      </w:r>
    </w:p>
    <w:p>
      <w:pPr>
        <w:ind w:left="420"/>
      </w:pPr>
      <w:r>
        <w:t xml:space="preserve">1. dieses Absatzes und der Absätze 3, 4, 5 Satz 1, Absätze 6 bis 10 sowie</w:t>
      </w:r>
    </w:p>
    <w:p>
      <w:pPr>
        <w:ind w:left="420"/>
      </w:pPr>
      <w:r>
        <w:t xml:space="preserve">2. der Absätze 2 und 5 Satz 2 eingehalten werden.</w:t>
      </w:r>
    </w:p>
    <w:p>
      <w:r>
        <w:t xml:space="preserve">Der Betreiber hat dafür zu sorgen, dass</w:t>
      </w:r>
    </w:p>
    <w:p>
      <w:pPr>
        <w:ind w:left="420"/>
      </w:pPr>
      <w:r>
        <w:t xml:space="preserve">1. kein Tagesmittelwert die folgenden Emissionsgrenzwerte überschreitet:</w:t>
      </w:r>
    </w:p>
    <w:p>
      <w:r>
        <w:rPr>
          <w:rFonts w:ascii="Courier New" w:hAnsi="Courier New"/>
          <w:sz w:val="17"/>
        </w:rPr>
        <w:t xml:space="preserve">Stickstoffmonoxid und Stickstoffdioxid, angegeben als Stickstoffdioxid,    50 mg/m3,</w:t>
      </w:r>
    </w:p>
    <w:p>
      <w:r>
        <w:rPr>
          <w:rFonts w:ascii="Courier New" w:hAnsi="Courier New"/>
          <w:sz w:val="17"/>
        </w:rPr>
        <w:t xml:space="preserve">Kohlenmonoxid    100 mg/m3;</w:t>
      </w:r>
    </w:p>
    <w:p>
      <w:pPr>
        <w:ind w:left="420"/>
      </w:pPr>
      <w:r>
        <w:t xml:space="preserve">2. kein Halbstundenmittelwert das Doppelte der unter Nummer 1 bestimmten Emissionsgrenzwerte überschreitet.</w:t>
      </w:r>
    </w:p>
    <w:p>
      <w:r>
        <w:t xml:space="preserve">(2) Die Emissionsgrenzwerte nach Absatz 1 gelten bei Betrieb ab einer Last von 70 Prozent, unter ISO-Bedingungen (Temperatur 288,15 K, Druck 101,3 kPa, relative Luftfeuchte 60 Prozent). Für den Betrieb bei Lasten bis 70 Prozent legt die zuständige Behörde den zu überwachenden Teillastbereich sowie die in diesem Bereich einzuhaltenden Emissionsbegrenzungen für die in Absatz 1 genannten Schadstoffe fest.</w:t>
      </w:r>
    </w:p>
    <w:p>
      <w:r>
        <w:t xml:space="preserve">(3) Abweichend von Absatz 1 Satz 2 Nummer 1 Buchstabe a ist bei Gasturbinen im Solobetrieb, deren Wirkungsgrad unter ISO-Bedingungen mehr als 35 Prozent beträgt, der Emissionsgrenzwert entsprechend der prozentualen Wirkungsgraderhöhung heraufzusetzen. Ein Emissionsgrenzwert von 75 mg/m3 für den Tagesmittelwert darf nicht überschritten werden.</w:t>
      </w:r>
    </w:p>
    <w:p>
      <w:r>
        <w:t xml:space="preserve">(4) Bei Einsatz flüssiger Brennstoffe darf die Rußzahl im Dauerbetrieb den Wert 2 und beim Anfahren den Wert 4 nicht überschreiten.</w:t>
      </w:r>
    </w:p>
    <w:p>
      <w:r>
        <w:t xml:space="preserve">(5) Bei Einsatz flüssiger Brennstoffe darf bei Gasturbinen nur leichtes Heizöl, das bezüglich des Schwefelgehaltes die Anforderungen an leichtes Heizöl nach der Verordnung über die Beschaffenheit und die Auszeichnung der Qualitäten von Kraft- und Brennstoffen erfüllt, verwendet werden. Abweichend von Satz 1 dürfen andere Brennstoffe verwendet werden, wenn gleichwertige Maßnahmen zur Emissionsminderung von Schwefeloxiden angewendet werden.</w:t>
      </w:r>
    </w:p>
    <w:p>
      <w:r>
        <w:t xml:space="preserve">(6) Bei Einsatz gasförmiger Brennstoffe sind die Emissionsgrenzwerte von § 7 Absatz 1 Satz 2 Nummer 1 Buchstabe d und Nummer 2 für Schwefeldioxid und Schwefeltrioxid, angegeben als Schwefeldioxid, auf einen Bezugssauerstoffgehalt von 15 Prozent umzurechnen.</w:t>
      </w:r>
    </w:p>
    <w:p>
      <w:r>
        <w:t xml:space="preserve">(7) Abweichend von den in Absatz 1 Satz 2 Nummer 1 Buchstabe a und Nummer 2 festgelegten Emissionsgrenzwerten für Stickstoffmonoxid und Stickstoffdioxid, angegeben als Stickstoffdioxid, darf für eine Einzelgasturbine mit einer Feuerungswärmeleistung von weniger als 50 MW, die Bestandteil einer Anlage mit einer Feuerungswärmeleistung von 50 MW oder mehr ist, beim Einsatz von sonstigen gasförmigen Brennstoffen, ausgenommen Erdgas, oder von flüssigen Brennstoffen, ein Emissionsgrenzwert von 120 mg/m3 für den Tagesmittelwert und von 240 mg/m3 für den Halbstundenmittelwert nicht überschritten werden.</w:t>
      </w:r>
    </w:p>
    <w:p>
      <w:r>
        <w:t xml:space="preserve">(7a) Bei Gasturbinenanlagen in Raffinerien darf für Ammoniak, sofern zur Minderung der Emissionen von Stickstoffoxiden ein Verfahren der selektiven katalytischen oder nichtkatalytischen Reduktion eingesetzt wird, ein Emissionsgrenzwert von 10 mg/m3 für den Tagesmittelwert und von 20 mg/m3 für den Halbstundenmittelwert nicht überschritten werden.</w:t>
      </w:r>
    </w:p>
    <w:p>
      <w:r>
        <w:t xml:space="preserve">(8) Abweichend von Absatz 1 Satz 2 Nummer 1 Buchstabe a und Nummer 2 darf bei im Jahr 2014 bestehenden Anlagen beim Einsatz von</w:t>
      </w:r>
    </w:p>
    <w:p>
      <w:pPr>
        <w:ind w:left="420"/>
      </w:pPr>
      <w:r>
        <w:t xml:space="preserve">1. Erdgas in Anlagen mit Kraft-Wärme-Kopplung mit einem Gesamtwirkungsgrad im Jahresdurchschnitt von mindestens 75 Prozent oder in Anlagen im Kombibetrieb mit einem elektrischen Gesamtwirkungsgrad im Jahresdurchschnitt von mindestens 55 Prozent oder in Anlagen zum Antrieb von Arbeitsmaschinen ein Emissionsgrenzwert von 75 mg/m3 für den Tagesmittelwert und von 150 mg/m3 für den Halbstundenmittelwert nicht überschritten werden;</w:t>
      </w:r>
    </w:p>
    <w:p>
      <w:pPr>
        <w:ind w:left="420"/>
      </w:pPr>
      <w:r>
        <w:t xml:space="preserve">2. sonstigen gasförmigen Brennstoffen oder leichtem Heizöl ein Emissionsgrenzwert von 120 mg/m3 für den Tagesmittelwert und von 240 mg/m3 für den Halbstundenmittelwert nicht überschritten werden.</w:t>
      </w:r>
    </w:p>
    <w:p>
      <w:r>
        <w:t xml:space="preserve">(9) Abweichend von Absatz 1 Satz 2 Nummer 1 Buchstabe a und Nummer 2 darf bei Altanlagen, die im gleitenden Durchschnitt über einen Zeitraum von fünf Jahren höchstens 1 500 Betriebsstunden jährlich in Betrieb sind,</w:t>
      </w:r>
    </w:p>
    <w:p>
      <w:pPr>
        <w:ind w:left="420"/>
      </w:pPr>
      <w:r>
        <w:t xml:space="preserve">1. bei Einsatz von Erdgas ein Emissionsgrenzwert von 75 mg/m3 für den Tagesmittelwert und von 150 mg/m3 für den Halbstundenmittelwert nicht überschritten werden;</w:t>
      </w:r>
    </w:p>
    <w:p>
      <w:pPr>
        <w:ind w:left="420"/>
      </w:pPr>
      <w:r>
        <w:t xml:space="preserve">2. bei Einsatz von sonstigen gasförmigen Brennstoffen oder leichtem Heizöl ein Emissionsgrenzwert von 150 mg/m3 für den Tagesmittelwert und von 300 mg/m3 für den Halbstundenmittelwert nicht überschritten werden.</w:t>
      </w:r>
    </w:p>
    <w:p>
      <w:r>
        <w:t xml:space="preserve">(10) Abweichend von Absatz 1 Satz 2 Nummer 1 Buchstabe a und Nummer 2 darf bei Altanlagen, die ausschließlich zur Abdeckung der Spitzenlast bei der Energieversorgung während bis zu 300 Betriebsstunden jährlich in Betrieb sind,</w:t>
      </w:r>
    </w:p>
    <w:p>
      <w:pPr>
        <w:ind w:left="420"/>
      </w:pPr>
      <w:r>
        <w:t xml:space="preserve">1. bei Einsatz von Erdgas ein Emissionsgrenzwert von 150 mg/m3 für den Tagesmittelwert und von 300 mg/m3 für den Halbstundenmittelwert nicht überschritten werden;</w:t>
      </w:r>
    </w:p>
    <w:p>
      <w:pPr>
        <w:ind w:left="420"/>
      </w:pPr>
      <w:r>
        <w:t xml:space="preserve">2. bei Einsatz von sonstigen gasförmigen Brennstoffen oder leichtem Heizöl ein Emissionsgrenzwert von 200 mg/m3 für den Tagesmittelwert und von 400 mg/m3 für den Halbstundenmittelwert nicht überschritten werden.</w:t>
      </w:r>
    </w:p>
    <w:p>
      <w:r>
        <w:t xml:space="preserve">(11) Bei Gasturbinen, die dem Notbetrieb während bis zu 300 Stunden im Jahr dienen, sind die Absätze 1 bis 3 nicht anzuwenden.</w:t>
      </w:r>
    </w:p>
    <w:p>
      <w:r>
        <w:t xml:space="preserve">(12) Der Betreiber einer Anlage nach Absatz 9, 10 oder 11 hat jeweils bis zum 31. März eines Jahres für die vorhergehenden fünf Jahre einen Nachweis über die Einhaltung der Betriebszeit zu führen und der zuständigen Behörde auf Verlangen vorzulegen. Der Betreiber einer Anlage nach Absatz 8 Nummer 1 hat jeweils bis zum 31. März eines Jahres für das vorangegangene Jahr einen Nachweis über die Einhaltung des jeweiligen Gesamtwirkungsgrades zu führen und der zuständigen Behörde auf Verlangen vorzulegen. Die Betreiber haben die Nachweise jeweils fünf Jahre nach Ende des Nachweiszeitraums aufzubewahren.</w:t>
      </w:r>
    </w:p>
    <w:p>
      <w:r>
        <w:t xml:space="preserve">(13) Für Gasturbinen mit Zusatzfeuerung sind Emissionsgrenzwerte und zugehörige Bezugssauerstoffgehalte auf Grundlage der jeweils maßgeblichen Anforderungen an die Gasturbine nach dieser Vorschrift und den jeweils maßgeblichen Anforderungen an die Zusatzfeuerung nach § 6 oder § 7 durch die Behörde im Einzelfall festzulegen.</w:t>
      </w:r>
    </w:p>
    <w:p>
      <w:r>
        <w:rPr>
          <w:color w:val="555555"/>
          <w:sz w:val="17"/>
        </w:rPr>
        <w:t xml:space="preserve">Zitiervorschlag: § 8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BImSchV 13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