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BImSchV 13 2013 — Emissionsgrenzwerte für Großfeuerungsanlagen bei Einsatz gasförmiger Brennstoffe</w:t>
      </w:r>
    </w:p>
    <w:p>
      <w:r>
        <w:rPr>
          <w:color w:val="555555"/>
          <w:sz w:val="18"/>
        </w:rPr>
        <w:t xml:space="preserve">Verordnung über Großfeuerungs-, Gasturbinen- und Verbrennungsmotoranlagen</w:t>
      </w:r>
    </w:p>
    <w:p>
      <w:r>
        <w:rPr>
          <w:color w:val="555555"/>
          <w:sz w:val="18"/>
        </w:rPr>
        <w:t xml:space="preserve">Historische Fassung: Stand 10.06.2019 bis 15.07.2021. Dies ist nicht die aktuelle Fassung.</w:t>
      </w:r>
    </w:p>
    <w:p>
      <w:r>
        <w:t xml:space="preserve">(1) Großfeuerungsanlagen, die gasförmige Brennstoffe einsetzen, sind so zu errichten und zu betreiben, dass die Anforderungen dieses Absatzes und der Absätze 2 bis 4 eingehalten werden. Der Betreiber hat dafür zu sorgen, dass</w:t>
      </w:r>
    </w:p>
    <w:p>
      <w:pPr>
        <w:ind w:left="420"/>
      </w:pPr>
      <w:r>
        <w:t xml:space="preserve">1. kein Tagesmittelwert die folgenden Emissionsgrenzwerte überschreitet:</w:t>
      </w:r>
    </w:p>
    <w:p>
      <w:pPr>
        <w:ind w:left="780"/>
      </w:pPr>
      <w:r>
        <w:t xml:space="preserve">a) Gesamtstaub bei Einsatz von</w:t>
      </w:r>
    </w:p>
    <w:p>
      <w:r>
        <w:rPr>
          <w:rFonts w:ascii="Courier New" w:hAnsi="Courier New"/>
          <w:sz w:val="17"/>
        </w:rPr>
        <w:t xml:space="preserve">Hochofengas oder Koksofengas    10 mg/m3,</w:t>
      </w:r>
    </w:p>
    <w:p>
      <w:r>
        <w:rPr>
          <w:rFonts w:ascii="Courier New" w:hAnsi="Courier New"/>
          <w:sz w:val="17"/>
        </w:rPr>
        <w:t xml:space="preserve">sonstigen gasförmigen Brennstoffen    5 mg/m3,</w:t>
      </w:r>
    </w:p>
    <w:p>
      <w:pPr>
        <w:ind w:left="780"/>
      </w:pPr>
      <w:r>
        <w:t xml:space="preserve">b) Kohlenmonoxid bei Einsatz von</w:t>
      </w:r>
    </w:p>
    <w:p>
      <w:r>
        <w:rPr>
          <w:rFonts w:ascii="Courier New" w:hAnsi="Courier New"/>
          <w:sz w:val="17"/>
        </w:rPr>
        <w:t xml:space="preserve">Erdgas    50 mg/m3,</w:t>
      </w:r>
    </w:p>
    <w:p>
      <w:r>
        <w:rPr>
          <w:rFonts w:ascii="Courier New" w:hAnsi="Courier New"/>
          <w:sz w:val="17"/>
        </w:rPr>
        <w:t xml:space="preserve">Hochofengas oder Koksofengas    100 mg/m3,</w:t>
      </w:r>
    </w:p>
    <w:p>
      <w:r>
        <w:rPr>
          <w:rFonts w:ascii="Courier New" w:hAnsi="Courier New"/>
          <w:sz w:val="17"/>
        </w:rPr>
        <w:t xml:space="preserve">sonstigen gasförmigen Brennstoffen    80 mg/m3,</w:t>
      </w:r>
    </w:p>
    <w:p>
      <w:pPr>
        <w:ind w:left="780"/>
      </w:pPr>
      <w:r>
        <w:t xml:space="preserve">c) Stickstoffmonoxid und Stickstoffdioxid, angegeben als Stickstoffdioxid, bei einer Feuerungswärmeleistung von</w:t>
      </w:r>
    </w:p>
    <w:p>
      <w:pPr>
        <w:ind w:left="1140"/>
      </w:pPr>
      <w:r>
        <w:t xml:space="preserve">aa) 50 MW bis 300 MW und bei Einsatz von</w:t>
      </w:r>
    </w:p>
    <w:p>
      <w:r>
        <w:rPr>
          <w:rFonts w:ascii="Courier New" w:hAnsi="Courier New"/>
          <w:sz w:val="17"/>
        </w:rPr>
        <w:t xml:space="preserve">Erdgas    100 mg/m3,</w:t>
      </w:r>
    </w:p>
    <w:p>
      <w:r>
        <w:rPr>
          <w:rFonts w:ascii="Courier New" w:hAnsi="Courier New"/>
          <w:sz w:val="17"/>
        </w:rPr>
        <w:t xml:space="preserve">sonstigen gasförmigen Brennstoffen beim Einsatz in Raffinerien    100 mg/m3,</w:t>
      </w:r>
    </w:p>
    <w:p>
      <w:r>
        <w:rPr>
          <w:rFonts w:ascii="Courier New" w:hAnsi="Courier New"/>
          <w:sz w:val="17"/>
        </w:rPr>
        <w:t xml:space="preserve">sonstigen gasförmigen Brennstoffen im Übrigen    200 mg/m3,</w:t>
      </w:r>
    </w:p>
    <w:p>
      <w:r>
        <w:rPr>
          <w:rFonts w:ascii="Courier New" w:hAnsi="Courier New"/>
          <w:sz w:val="17"/>
        </w:rPr>
        <w:t xml:space="preserve">mehr als 300 MW    100 mg/m3,</w:t>
      </w:r>
    </w:p>
    <w:p>
      <w:pPr>
        <w:ind w:left="780"/>
      </w:pPr>
      <w:r>
        <w:t xml:space="preserve">d) Schwefeldioxid und Schwefeltrioxid, angegeben als Schwefeldioxid, bei Einsatz von</w:t>
      </w:r>
    </w:p>
    <w:p>
      <w:r>
        <w:rPr>
          <w:rFonts w:ascii="Courier New" w:hAnsi="Courier New"/>
          <w:sz w:val="17"/>
        </w:rPr>
        <w:t xml:space="preserve">Flüssiggas    5 mg/m3,</w:t>
      </w:r>
    </w:p>
    <w:p>
      <w:r>
        <w:rPr>
          <w:rFonts w:ascii="Courier New" w:hAnsi="Courier New"/>
          <w:sz w:val="17"/>
        </w:rPr>
        <w:t xml:space="preserve">Koksofengas    350 mg/m3,</w:t>
      </w:r>
    </w:p>
    <w:p>
      <w:r>
        <w:rPr>
          <w:rFonts w:ascii="Courier New" w:hAnsi="Courier New"/>
          <w:sz w:val="17"/>
        </w:rPr>
        <w:t xml:space="preserve">Hochofengas    200 mg/m3,</w:t>
      </w:r>
    </w:p>
    <w:p>
      <w:r>
        <w:rPr>
          <w:rFonts w:ascii="Courier New" w:hAnsi="Courier New"/>
          <w:sz w:val="17"/>
        </w:rPr>
        <w:t xml:space="preserve">sonstigen gasförmigen Brennstoffen    35 mg/m3;</w:t>
      </w:r>
    </w:p>
    <w:p>
      <w:pPr>
        <w:ind w:left="420"/>
      </w:pPr>
      <w:r>
        <w:t xml:space="preserve">2. kein Halbstundenmittelwert das Doppelte der unter Nummer 1 bestimmten Emissionsgrenzwerte überschreitet.</w:t>
      </w:r>
    </w:p>
    <w:p>
      <w:r>
        <w:t xml:space="preserve">(1a) Bei Einsatz sonstiger gasförmiger Brennstoffe in Raffinerien darf für Ammoniak, sofern zur Minderung der Emissionen von Stickstoffoxiden ein Verfahren der selektiven katalytischen oder nichtkatalytischen Reduktion eingesetzt wird, ein Emissionsgrenzwert von 10 mg/m3 für den Tagesmittelwert und von 20 mg/m3 für den Halbstundenmittelwert nicht überschritten werden.</w:t>
      </w:r>
    </w:p>
    <w:p>
      <w:r>
        <w:t xml:space="preserve">(2) Abweichend von Absatz 1 Satz 2 Nummer 1 Buchstabe c und Nummer 2 darf bei Altanlagen mit einer Feuerungswärmeleistung von mehr als 300 MW bei Einsatz von Hochofengas oder Koksofengas für Stickstoffmonoxid und Stickstoffdioxid, angegeben als Stickstoffdioxid, ein Emissionsgrenzwert von 135 mg/m3 für den Tagesmittelwert und von 270 mg/m3 für den Halbstundenmittelwert nicht überschritten werden.</w:t>
      </w:r>
    </w:p>
    <w:p>
      <w:r>
        <w:t xml:space="preserve">(3) Abweichend von Absatz 1 Satz 2 Nummer 1 Buchstabe c und Nummer 2 darf bei Altanlagen zum Reformieren von Erdgas oder zur Herstellung von Alkenen durch Spalten von Kohlenwasserstoffen für Stickstoffmonoxid und Stickstoffdioxid, angegeben als Stickstoffdioxid, bei einer Feuerungswärmeleistung von</w:t>
      </w:r>
    </w:p>
    <w:p>
      <w:pPr>
        <w:ind w:left="420"/>
      </w:pPr>
      <w:r>
        <w:t xml:space="preserve">1. mehr als 100 MW bis 300 MW ein Emissionsgrenzwert von 200 mg/m3 für den Tagesmittelwert und von 400 mg/m3 für den Halbstundenmittelwert nicht überschritten werden,</w:t>
      </w:r>
    </w:p>
    <w:p>
      <w:pPr>
        <w:ind w:left="420"/>
      </w:pPr>
      <w:r>
        <w:t xml:space="preserve">2. mehr als 300 MW ein Emissionsgrenzwert von 150 mg/m3 für den Tagesmittelwert und von 300 mg/m3 für den Halbstundenmittelwert nicht überschritten werden.</w:t>
      </w:r>
    </w:p>
    <w:p>
      <w:r>
        <w:t xml:space="preserve">(4) Abweichend von Absatz 1 Satz 2 Nummer 1 Buchstabe c Doppelbuchstabe aa Dreifachbuchstabe bbb und Nummer 2 darf bei bestehenden Anlagen in Raffinerien für Stickstoffmonoxid und Stickstoffdioxid, angegeben als Stickstoffdioxid, ein Emissionsgrenzwert von 150 mg/m3 für den Monatsmittelwert und von 500 mg/m3 für den Halbstundenmittelwert nicht überschritten werden. Abweichend von Satz 1 darf bei diesen Anlagen, sofern</w:t>
      </w:r>
    </w:p>
    <w:p>
      <w:pPr>
        <w:ind w:left="420"/>
      </w:pPr>
      <w:r>
        <w:t xml:space="preserve">1. die zugeführte Verbrennungsluft eine Temperatur von mehr als 200 Grad Celsius hat, oder</w:t>
      </w:r>
    </w:p>
    <w:p>
      <w:pPr>
        <w:ind w:left="420"/>
      </w:pPr>
      <w:r>
        <w:t xml:space="preserve">2. der Wasserstoffgehalt des eingesetzten Brennstoffes mehr als 50 Prozent beträgt,</w:t>
      </w:r>
    </w:p>
    <w:p>
      <w:r>
        <w:t xml:space="preserve">für Stickstoffmonoxid und Stickstoffdioxid, angegeben als Stickstoffdioxid, ein Emissionsgrenzwert von 200 mg/m3 für den Monatsmittelwert und von 500 mg/m3 für den Halbstundenmittelwert nicht überschritten werden.</w:t>
      </w:r>
    </w:p>
    <w:p>
      <w:r>
        <w:rPr>
          <w:color w:val="555555"/>
          <w:sz w:val="17"/>
        </w:rPr>
        <w:t xml:space="preserve">Zitiervorschlag: § 7 BImSchV 13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