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BImSchV 13 2013 — Emissionsgrenzwerte für Großfeuerungsanlagen bei Einsatz fester Brennstoffe, ausgenommen Biobrennstoffe</w:t>
      </w:r>
    </w:p>
    <w:p>
      <w:r>
        <w:rPr>
          <w:color w:val="555555"/>
          <w:sz w:val="18"/>
        </w:rPr>
        <w:t xml:space="preserve">Verordnung über Großfeuerungs-, Gasturbinen- und Verbrennungsmotoranlagen</w:t>
      </w:r>
    </w:p>
    <w:p>
      <w:r>
        <w:rPr>
          <w:color w:val="555555"/>
          <w:sz w:val="18"/>
        </w:rPr>
        <w:t xml:space="preserve">Historische Fassung: Stand 10.06.2019 bis 15.07.2021. Dies ist nicht die aktuelle Fassung.</w:t>
      </w:r>
    </w:p>
    <w:p>
      <w:r>
        <w:t xml:space="preserve">(1) Großfeuerungsanlagen, die feste Brennstoffe mit Ausnahme von Biobrennstoffen einsetzen, sind so zu errichten und zu betreiben, dass die Anforderungen dieses Absatzes und der Absätze 3 bis 11 eingehalten werden. Der Betreiber hat dafür zu sorgen, dass</w:t>
      </w:r>
    </w:p>
    <w:p>
      <w:pPr>
        <w:ind w:left="420"/>
      </w:pPr>
      <w:r>
        <w:t xml:space="preserve">1. kein Tagesmittelwert die folgenden Emissionsgrenzwerte überschreitet und kein Tagesmittelwert die folgenden Schwefelabscheidegrade unterschreitet:</w:t>
      </w:r>
    </w:p>
    <w:p>
      <w:r>
        <w:rPr>
          <w:rFonts w:ascii="Courier New" w:hAnsi="Courier New"/>
          <w:sz w:val="17"/>
        </w:rPr>
        <w:t xml:space="preserve">Gesamtstaub    10 mg/m3,</w:t>
      </w:r>
    </w:p>
    <w:p>
      <w:r>
        <w:rPr>
          <w:rFonts w:ascii="Courier New" w:hAnsi="Courier New"/>
          <w:sz w:val="17"/>
        </w:rPr>
        <w:t xml:space="preserve">Quecksilber und seine Verbindungen, angegeben als Quecksilber,    0,03 mg/m³,</w:t>
      </w:r>
    </w:p>
    <w:p>
      <w:pPr>
        <w:ind w:left="780"/>
      </w:pPr>
      <w:r>
        <w:t xml:space="preserve">c) Kohlenmonoxid bei einer Feuerungswärmeleistung von</w:t>
      </w:r>
    </w:p>
    <w:p>
      <w:r>
        <w:rPr>
          <w:rFonts w:ascii="Courier New" w:hAnsi="Courier New"/>
          <w:sz w:val="17"/>
        </w:rPr>
        <w:t xml:space="preserve">50 MW bis 100 MW    150 mg/m3,</w:t>
      </w:r>
    </w:p>
    <w:p>
      <w:r>
        <w:rPr>
          <w:rFonts w:ascii="Courier New" w:hAnsi="Courier New"/>
          <w:sz w:val="17"/>
        </w:rPr>
        <w:t xml:space="preserve">mehr als 100 MW    200 mg/m3,</w:t>
      </w:r>
    </w:p>
    <w:p>
      <w:pPr>
        <w:ind w:left="780"/>
      </w:pPr>
      <w:r>
        <w:t xml:space="preserve">d) Stickstoffmonoxid und Stickstoffdioxid, angegeben als Stickstoffdioxid, bei einer Feuerungswärmeleistung von</w:t>
      </w:r>
    </w:p>
    <w:p>
      <w:pPr>
        <w:ind w:left="1140"/>
      </w:pPr>
      <w:r>
        <w:t xml:space="preserve">aa) 50 MW bis 100 MW</w:t>
      </w:r>
    </w:p>
    <w:p>
      <w:r>
        <w:rPr>
          <w:rFonts w:ascii="Courier New" w:hAnsi="Courier New"/>
          <w:sz w:val="17"/>
        </w:rPr>
        <w:t xml:space="preserve">in Braunkohlestaubfeuerungen    400 mg/m3,</w:t>
      </w:r>
    </w:p>
    <w:p>
      <w:r>
        <w:rPr>
          <w:rFonts w:ascii="Courier New" w:hAnsi="Courier New"/>
          <w:sz w:val="17"/>
        </w:rPr>
        <w:t xml:space="preserve">in sonstigen Feuerungen    300 mg/m3,</w:t>
      </w:r>
    </w:p>
    <w:p>
      <w:r>
        <w:rPr>
          <w:rFonts w:ascii="Courier New" w:hAnsi="Courier New"/>
          <w:sz w:val="17"/>
        </w:rPr>
        <w:t xml:space="preserve">mehr als 100 MW bis 300 MW    200 mg/m3,</w:t>
      </w:r>
    </w:p>
    <w:p>
      <w:pPr>
        <w:ind w:left="1140"/>
      </w:pPr>
      <w:r>
        <w:t xml:space="preserve">cc) mehr als 300 MW</w:t>
      </w:r>
    </w:p>
    <w:p>
      <w:r>
        <w:rPr>
          <w:rFonts w:ascii="Courier New" w:hAnsi="Courier New"/>
          <w:sz w:val="17"/>
        </w:rPr>
        <w:t xml:space="preserve">in Braunkohlestaubfeuerungen    200 mg/m3,</w:t>
      </w:r>
    </w:p>
    <w:p>
      <w:r>
        <w:rPr>
          <w:rFonts w:ascii="Courier New" w:hAnsi="Courier New"/>
          <w:sz w:val="17"/>
        </w:rPr>
        <w:t xml:space="preserve">in sonstigen Feuerungen    150 mg/m3,</w:t>
      </w:r>
    </w:p>
    <w:p>
      <w:pPr>
        <w:ind w:left="780"/>
      </w:pPr>
      <w:r>
        <w:t xml:space="preserve">e) Schwefeldioxid und Schwefeltrioxid, angegeben als Schwefeldioxid, bei einer Feuerungswärmeleistung von</w:t>
      </w:r>
    </w:p>
    <w:p>
      <w:pPr>
        <w:ind w:left="1140"/>
      </w:pPr>
      <w:r>
        <w:t xml:space="preserve">aa) 50 MW bis 100 MW</w:t>
      </w:r>
    </w:p>
    <w:p>
      <w:r>
        <w:rPr>
          <w:rFonts w:ascii="Courier New" w:hAnsi="Courier New"/>
          <w:sz w:val="17"/>
        </w:rPr>
        <w:t xml:space="preserve">in Wirbelschichtfeuerungen    350 mg/m3</w:t>
      </w:r>
    </w:p>
    <w:p>
      <w:pPr>
        <w:ind w:left="1500"/>
      </w:pPr>
      <w:r>
        <w:t xml:space="preserve">aaa) sowie einen Schwefelabscheidegrad von mindestens 75 Prozent,</w:t>
      </w:r>
    </w:p>
    <w:p>
      <w:r>
        <w:rPr>
          <w:rFonts w:ascii="Courier New" w:hAnsi="Courier New"/>
          <w:sz w:val="17"/>
        </w:rPr>
        <w:t xml:space="preserve">in sonstigen Feuerungen    400 mg/m3,</w:t>
      </w:r>
    </w:p>
    <w:p>
      <w:r>
        <w:rPr>
          <w:rFonts w:ascii="Courier New" w:hAnsi="Courier New"/>
          <w:sz w:val="17"/>
        </w:rPr>
        <w:t xml:space="preserve">mehr als 100 MW und bis 300 MW    200 mg/m3</w:t>
      </w:r>
    </w:p>
    <w:p>
      <w:pPr>
        <w:ind w:left="1140"/>
      </w:pPr>
      <w:r>
        <w:t xml:space="preserve">bb) sowie einen Schwefelabscheidegrad von mindestens 85 Prozent,</w:t>
      </w:r>
    </w:p>
    <w:p>
      <w:pPr>
        <w:ind w:left="1140"/>
      </w:pPr>
      <w:r>
        <w:t xml:space="preserve">cc) mehr als 300 MW</w:t>
      </w:r>
    </w:p>
    <w:p>
      <w:r>
        <w:rPr>
          <w:rFonts w:ascii="Courier New" w:hAnsi="Courier New"/>
          <w:sz w:val="17"/>
        </w:rPr>
        <w:t xml:space="preserve">in Feuerungen mit zirkulierender oder druckaufgeladener Wirbelschicht    200 mg/m3</w:t>
      </w:r>
    </w:p>
    <w:p>
      <w:pPr>
        <w:ind w:left="1500"/>
      </w:pPr>
      <w:r>
        <w:t xml:space="preserve">aaa) sowie einen Schwefelabscheidegrad von mindestens 85 Prozent,</w:t>
      </w:r>
    </w:p>
    <w:p>
      <w:r>
        <w:rPr>
          <w:rFonts w:ascii="Courier New" w:hAnsi="Courier New"/>
          <w:sz w:val="17"/>
        </w:rPr>
        <w:t xml:space="preserve">in sonstigen Feuerungen    150 mg/m3</w:t>
      </w:r>
    </w:p>
    <w:p>
      <w:pPr>
        <w:ind w:left="1500"/>
      </w:pPr>
      <w:r>
        <w:t xml:space="preserve">bbb) sowie einen Schwefelabscheidegrad von mindestens 85 Prozent;</w:t>
      </w:r>
    </w:p>
    <w:p>
      <w:pPr>
        <w:ind w:left="780"/>
      </w:pPr>
      <w:r>
        <w:t xml:space="preserve">soweit die Anforderung an den Schwefelabscheidegrad nach den Doppelbuchstaben bb oder cc zu Emissionen von weniger als 50 mg/m3 für den Tagesmittelwert führt, ist mindestens ein Schwefelabscheidegrad einzuhalten, der zu Emissionen von nicht mehr als 50 mg/m3 für den Tagesmittelwert führt;</w:t>
      </w:r>
    </w:p>
    <w:p>
      <w:pPr>
        <w:ind w:left="420"/>
      </w:pPr>
      <w:r>
        <w:t xml:space="preserve">2. kein Halbstundenmittelwert das Doppelte der unter Nummer 1 bestimmten Emissionsgrenzwerte überschreitet und</w:t>
      </w:r>
    </w:p>
    <w:p>
      <w:pPr>
        <w:ind w:left="420"/>
      </w:pPr>
      <w:r>
        <w:t xml:space="preserve">3. kein Mittelwert, der über die jeweilige Probenahmezeit gebildet ist, die Emissionsgrenzwerte nach Anlage 1 überschreitet.</w:t>
      </w:r>
    </w:p>
    <w:p>
      <w:r>
        <w:t xml:space="preserve">(2) Abweichend von Absatz 1 Satz 2 Nummer 3 gelten die Emissionsgrenzwerte nach Anlage 1 Buchstabe a bis c nicht für den Einsatz von Kohle.</w:t>
      </w:r>
    </w:p>
    <w:p>
      <w:r>
        <w:t xml:space="preserve">(3) Abweichend von Absatz 1 Satz 2 Nummer 2 darf für die Emissionen an Quecksilber und seine Verbindungen, angegeben als Quecksilber, ein Emissionsgrenzwert von 0,05 mg/m3 für den Halbstundenmittelwert nicht überschritten werden.</w:t>
      </w:r>
    </w:p>
    <w:p>
      <w:r>
        <w:t xml:space="preserve">(4) Abweichend von Absatz 1 Satz 2 Nummer 1 Buchstabe e und Nummer 2 darf für die Emissionen an Schwefeldioxid und Schwefeltrioxid, angegeben als Schwefeldioxid, soweit auf Grund des Schwefelgehalts der eingesetzten einheimischen Brennstoffe die in Absatz 1 bestimmten Emissionsgrenzwerte mit einem verhältnismäßigen Aufwand nicht eingehalten werden können, bei einer Feuerungswärmeleistung von</w:t>
      </w:r>
    </w:p>
    <w:p>
      <w:pPr>
        <w:ind w:left="420"/>
      </w:pPr>
      <w:r>
        <w:t xml:space="preserve">1. 50 MW bis 100 MW alternativ ein Schwefelabscheidegrad von mindestens 93 Prozent nicht unterschritten werden,</w:t>
      </w:r>
    </w:p>
    <w:p>
      <w:pPr>
        <w:ind w:left="420"/>
      </w:pPr>
      <w:r>
        <w:t xml:space="preserve">2. mehr als 100 MW bis 300 MW ein Emissionsgrenzwert von 300 mg/m³ für den Tagesmittelwert und von 600 mg/m3 für den Halbstundenmittelwert nicht überschritten und zusätzlich ein Schwefelabscheidegrad von mindestens 93 Prozent als Tagesmittelwert nicht unterschritten werden,</w:t>
      </w:r>
    </w:p>
    <w:p>
      <w:pPr>
        <w:ind w:left="420"/>
      </w:pPr>
      <w:r>
        <w:t xml:space="preserve">3. mehr als 300 MW ein Emissionsgrenzwert von 400 mg/m3 für den Tagesmittelwert und von 800 mg/m3 für den Halbstundenmittelwert nicht überschritten und zusätzlich ein Schwefelabscheidegrad von mindestens 97 Prozent als Tagesmittelwert nicht unterschritten werden.</w:t>
      </w:r>
    </w:p>
    <w:p>
      <w:r>
        <w:t xml:space="preserve">(5) Die Emissionsgrenzwerte dieser Vorschrift sind auch bei der Heizflächenreinigung einzuhalten.</w:t>
      </w:r>
    </w:p>
    <w:p>
      <w:r>
        <w:t xml:space="preserve">(6) Abweichend von den in Absatz 1 Satz 2 Nummer 1 Buchstabe a und Nummer 2 bestimmten Emissionsgrenzwerten für Gesamtstaub darf bei im Jahr 2014 bestehenden Anlagen ein Emissionsgrenzwert von 20 mg/m3 für den Tagesmittelwert und von 40 mg/m³ für den Halbstundenmittelwert nicht überschritten werden.</w:t>
      </w:r>
    </w:p>
    <w:p>
      <w:r>
        <w:t xml:space="preserve">(7) Abweichend von den in Absatz 1 Satz 2 Nummer 1 Buchstabe c und Nummer 2 bestimmten Emissionsgrenzwerten für Kohlenmonoxid darf bei Altanlagen mit einer Feuerungswärmeleistung von mehr als 100 MW ein Emissionsgrenzwert von 250 mg/m3 für den Tagesmittelwert und von 500 mg/m3 für den Halbstundenmittelwert nicht überschritten werden.</w:t>
      </w:r>
    </w:p>
    <w:p>
      <w:r>
        <w:t xml:space="preserve">(8) Abweichend von den in Absatz 1 Satz 2 Nummer 1 Buchstabe d und Nummer 2 bestimmten Emissionsgrenzwerten für Stickstoffmonoxid und Stickstoffdioxid, angegeben als Stickstoffdioxid, darf</w:t>
      </w:r>
    </w:p>
    <w:p>
      <w:pPr>
        <w:ind w:left="420"/>
      </w:pPr>
      <w:r>
        <w:t xml:space="preserve">1. bei Altanlagen mit einer Feuerungswärmeleistung von 50 MW bis 100 MW in Braunkohlestaubfeuerungen ein Emissionsgrenzwert von 450 mg/m3 für den Tagesmittelwert und von 900 mg/m3 für den Halbstundenmittelwert nicht überschritten werden;</w:t>
      </w:r>
    </w:p>
    <w:p>
      <w:pPr>
        <w:ind w:left="420"/>
      </w:pPr>
      <w:r>
        <w:t xml:space="preserve">2. bei Altanlagen mit einer Feuerungswärmeleistung von 50 MW bis 100 MW, die im gleitenden Durchschnitt über einen Zeitraum von fünf Jahren höchstens 1 500 Betriebsstunden jährlich in Betrieb sind, ein Emissionsgrenzwert von 450 mg/m3 für den Tagesmittelwert und von 900 mg/m3 für den Halbstundenmittelwert nicht überschritten werden;</w:t>
      </w:r>
    </w:p>
    <w:p>
      <w:pPr>
        <w:ind w:left="420"/>
      </w:pPr>
      <w:r>
        <w:t xml:space="preserve">3. bei Altanlagen mit einer Feuerungswärmeleistung von mehr als 100 MW bis 300 MW, die im gleitenden Durchschnitt über einen Zeitraum von fünf Jahren höchstens 1 500 Betriebsstunden jährlich in Betrieb sind, ein Emissionsgrenzwert von 400 mg/m3 für den Tagesmittelwert und von 800 mg/m3 für den Halbstundenmittelwert nicht überschritten werden;</w:t>
      </w:r>
    </w:p>
    <w:p>
      <w:pPr>
        <w:ind w:left="420"/>
      </w:pPr>
      <w:r>
        <w:t xml:space="preserve">4. bei im Jahr 2014 bestehenden Anlagen mit einer Feuerungswärmeleistung von mehr als 300 MW ein Emissionsgrenzwert von 200 mg/m3 für den Tagesmittelwert und von 400 mg/m3 für den Halbstundenmittelwert nicht überschritten werden.</w:t>
      </w:r>
    </w:p>
    <w:p>
      <w:r>
        <w:t xml:space="preserve">(9) Abweichend von den in Absatz 1 Satz 2 Nummer 1 Buchstabe e und Nummer 2 bestimmten Emissionsgrenzwerten für Schwefeldioxid und Schwefeltrioxid, angegeben als Schwefeldioxid, darf bei Altanlagen mit einer Feuerungswärmeleistung von 50 MW bis 100 MW, die im gleitenden Durchschnitt über einen Zeitraum von fünf Jahren höchstens 1 500 Betriebsstunden jährlich in Betrieb sind, ausgenommen Wirbelschichtfeuerungen, ein Emissionsgrenzwert von 800 mg/m3 für den Tagesmittelwert und von 1 600 mg/m3 für den Halbstundenmittelwert nicht überschritten werden.</w:t>
      </w:r>
    </w:p>
    <w:p>
      <w:r>
        <w:t xml:space="preserve">(10) Abweichend von den in Absatz 1 Satz 2 Nummer 1 Buchstabe e und Nummer 2 bestimmten Emissionsgrenzwerten für Schwefeldioxid und Schwefeltrioxid, angegeben als Schwefeldioxid, darf</w:t>
      </w:r>
    </w:p>
    <w:p>
      <w:pPr>
        <w:ind w:left="420"/>
      </w:pPr>
      <w:r>
        <w:t xml:space="preserve">1. bei Altanlagen mit einer Feuerungswärmeleistung von mehr als 100 MW bis 300 MW ein Emissionsgrenzwert von 250 mg/m3 für den Tagesmittelwert und von 500 mg/m3 für den Halbstundenmittelwert nicht überschritten werden, wobei der Schwefelabscheidegrad einen Wert von mindestens 75 Prozent in Wirbelschichtfeuerungen und von mindestens 60 Prozent in sonstigen Feuerungen nicht unterschreiten darf;</w:t>
      </w:r>
    </w:p>
    <w:p>
      <w:pPr>
        <w:ind w:left="420"/>
      </w:pPr>
      <w:r>
        <w:t xml:space="preserve">2. bei im Jahr 2014 bestehenden Anlagen mit einer Feuerungswärmeleistung von mehr als 300 MW ein Emissionsgrenzwert von 200 mg/m3 für den Tagesmittelwert und von 400 mg/m3 für den Halbstundenmittelwert nicht überschritten werden; die Anforderungen an den Schwefelabscheidegrad nach Absatz 1 Satz 2 Nummer 1 Buchstabe e bleiben unberührt.</w:t>
      </w:r>
    </w:p>
    <w:p>
      <w:r>
        <w:t xml:space="preserve">Abweichend von Satz 1 Nummer 1 darf bei Altanlagen, die im gleitenden Durchschnitt über einen Zeitraum von fünf Jahren höchstens 1 500 Betriebsstunden jährlich in Betrieb sind, ausgenommen Wirbelschichtfeuerungen, ein Emissionsgrenzwert von 800 mg/m3 für den Tagesmittelwert und von 1 600 mg/m3 für den Halbstundenmittelwert nicht überschritten werden; die Anforderungen an den Schwefelabscheidegrad bleiben unberührt. Abweichend von Satz 1 Nummer 2 darf bei Altanlagen, die im gleitenden Durchschnitt über einen Zeitraum von fünf Jahren höchstens 1 500 Betriebsstunden jährlich in Betrieb sind, ein Emissionsgrenzwert von 300 mg/m3 für den Tagesmittelwert und von 600 mg/m3 für den Halbstundenmittelwert nicht überschritten werden; die Anforderungen an den Schwefelabscheidegrad nach Absatz 1 Satz 2 Nummer 1 Buchstabe e bleiben unberührt.</w:t>
      </w:r>
    </w:p>
    <w:p>
      <w:r>
        <w:t xml:space="preserve">(11) Abweichend von Absatz 1 Satz 2 Nummer 1 Buchstabe e und Nummer 2 darf bei im Jahr 2014 bestehenden Anlagen für die Emissionen an Schwefeldioxid und Schwefeltrioxid, soweit auf Grund des Schwefelgehalts der eingesetzten einheimischen Brennstoffe die in Absatz 1 bestimmten Emissionsgrenzwerte mit einem verhältnismäßigen Aufwand nicht eingehalten werden können, angegeben als Schwefeldioxid, bei einer Feuerungswärmeleistung von</w:t>
      </w:r>
    </w:p>
    <w:p>
      <w:pPr>
        <w:ind w:left="420"/>
      </w:pPr>
      <w:r>
        <w:t xml:space="preserve">1. 50 MW bis 100 MW alternativ ein Schwefelabscheidegrad von mindestens 92 Prozent als Tagesmittelwert nicht unterschritten werden,</w:t>
      </w:r>
    </w:p>
    <w:p>
      <w:pPr>
        <w:ind w:left="420"/>
      </w:pPr>
      <w:r>
        <w:t xml:space="preserve">2. mehr als 100 MW bis 300 MW ein Emissionsgrenzwert von 300 mg/m3 für den Tagesmittelwert und von 600 mg/m3 für den Halbstundenmittelwert nicht überschritten und zusätzlich ein Schwefelabscheidegrad von mindestens 92 Prozent als Tagesmittelwert nicht unterschritten werden,</w:t>
      </w:r>
    </w:p>
    <w:p>
      <w:pPr>
        <w:ind w:left="420"/>
      </w:pPr>
      <w:r>
        <w:t xml:space="preserve">3. mehr als 300 MW ein Emissionsgrenzwert von 400 mg/m3 für den Tagesmittelwert und von 800 mg/m3 für den Halbstundenmittelwert nicht überschritten und zusätzlich ein Schwefelabscheidegrad von mindestens 96 Prozent als Tagesmittelwert nicht unterschritten werden.</w:t>
      </w:r>
    </w:p>
    <w:p>
      <w:r>
        <w:t xml:space="preserve">(12) Der Betreiber einer Anlage nach Absatz 8 Nummer 2 oder Nummer 3, Absatz 9 oder Absatz 10 Satz 2 oder Satz 3 hat jeweils bis zum 31. März eines Jahres für die vorhergehenden fünf Jahre einen Nachweis über die Einhaltung der Betriebszeit zu führen und der zuständigen Behörde auf Verlangen vorzulegen. Der Betreiber hat die Nachweise jeweils fünf Jahre nach Ende des Nachweiszeitraums aufzubewahren.</w:t>
      </w:r>
    </w:p>
    <w:p>
      <w:r>
        <w:rPr>
          <w:color w:val="555555"/>
          <w:sz w:val="17"/>
        </w:rPr>
        <w:t xml:space="preserve">Zitiervorschlag: § 4 BImSchV 13 2013</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https://recht.nulegal.eu/gesetze/BImSchV%2013%202013/4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