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BImSchV 13 2013 — Zugänglichkeit und Gleichwertigkeit von Normen und Arbeitsblättern</w:t>
      </w:r>
    </w:p>
    <w:p>
      <w:r>
        <w:rPr>
          <w:color w:val="555555"/>
          <w:sz w:val="18"/>
        </w:rPr>
        <w:t xml:space="preserve">Verordnung über Großfeuerungs-, Gasturbinen- und Verbrennungsmotoranlagen</w:t>
      </w:r>
    </w:p>
    <w:p>
      <w:r>
        <w:rPr>
          <w:color w:val="555555"/>
          <w:sz w:val="18"/>
        </w:rPr>
        <w:t xml:space="preserve">Historische Fassung: Stand 10.06.2019 bis 15.07.2021. Dies ist nicht die aktuelle Fassung.</w:t>
      </w:r>
    </w:p>
    <w:p>
      <w:r>
        <w:t xml:space="preserve">(1) Die in den §§ 2 und 6 genannten DIN-Normen sowie die in §§ 19 und 21 genannten CEN-Normen sind bei der Beuth Verlag GmbH, Berlin, zu beziehen. Die in § 2 Absatz 12 genannten DVGW-Arbeitsblätter sind bei der Wirtschafts- und Verlagsgesellschaft Gas und Wasser mbH, Bonn, zu beziehen. Die genannten DIN-Normen sind in der Deutschen Nationalbibliothek, die genannten CEN-Normen sowie die genannten Arbeitsblätter sind beim Deutschen Patent- und Markenamt in München archivmäßig gesichert niedergelegt.</w:t>
      </w:r>
    </w:p>
    <w:p>
      <w:r>
        <w:t xml:space="preserve">(2) Den in §§ 2 und 6 genannten DIN-Normen und DVGW-Arbeitsblättern stehen diesen entsprechende einschlägige CEN-Normen und soweit keine solchen CEN-Normen verfügbar sind, ISO-Normen oder sonstige internationale Normen, die den nationalen Normen nachgewiesenermaßen gleichwertige Anforderungen stellen, gleich.</w:t>
      </w:r>
    </w:p>
    <w:p>
      <w:r>
        <w:rPr>
          <w:color w:val="555555"/>
          <w:sz w:val="17"/>
        </w:rPr>
        <w:t xml:space="preserve">Zitiervorschlag: § 28 BImSchV 13 2013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https://recht.nulegal.eu/gesetze/BImSchV%2013%202013/28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