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BImSchV 13 2013 — Berichte und Beurteilung von Einzelmessungen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Historische Fassung: Stand 10.06.2019 bis 15.07.2021. Dies ist nicht die aktuelle Fassung.</w:t>
      </w:r>
    </w:p>
    <w:p>
      <w:r>
        <w:t xml:space="preserve">(1) Der Betreiber hat über die Ergebnisse der Messungen nach § 23 einen Messbericht gemäß Satz 2 zu erstellen und der zuständigen Behörde unverzüglich vorzulegen. Der Messbericht muss Folgendes enthalten:</w:t>
      </w:r>
    </w:p>
    <w:p>
      <w:pPr>
        <w:ind w:left="420"/>
      </w:pPr>
      <w:r>
        <w:t xml:space="preserve">1. Angaben über die Messplanung,</w:t>
      </w:r>
    </w:p>
    <w:p>
      <w:pPr>
        <w:ind w:left="420"/>
      </w:pPr>
      <w:r>
        <w:t xml:space="preserve">2. das Ergebnis jeder Einzelmessung,</w:t>
      </w:r>
    </w:p>
    <w:p>
      <w:pPr>
        <w:ind w:left="420"/>
      </w:pPr>
      <w:r>
        <w:t xml:space="preserve">3. das verwendete Messverfahren und</w:t>
      </w:r>
    </w:p>
    <w:p>
      <w:pPr>
        <w:ind w:left="420"/>
      </w:pPr>
      <w:r>
        <w:t xml:space="preserve">4. die Betriebsbedingungen, die für die Beurteilung der Messergebnisse von Bedeutung sind.</w:t>
      </w:r>
    </w:p>
    <w:p>
      <w:r>
        <w:t xml:space="preserve">(2) Die Emissionsgrenzwerte gelten als eingehalten, wenn kein Ergebnis einer Einzelmessung einen Emissionsgrenzwert nach den §§ 4 bis 10 oder Anlage 1 überschreitet.</w:t>
      </w:r>
    </w:p>
    <w:p>
      <w:r>
        <w:rPr>
          <w:color w:val="555555"/>
          <w:sz w:val="17"/>
        </w:rPr>
        <w:t xml:space="preserve">Zitiervorschlag: § 24 BImSchV 13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https://recht.nulegal.eu/gesetze/BImSchV%2013%202013/24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