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BImSchV 13 2013 — Ausnahmen vom Erfordernis kontinuierlicher Messungen</w:t>
      </w:r>
    </w:p>
    <w:p>
      <w:r>
        <w:rPr>
          <w:color w:val="555555"/>
          <w:sz w:val="18"/>
        </w:rPr>
        <w:t xml:space="preserve">Verordnung über Großfeuerungs-, Gasturbinen- und Verbrennungsmotoranlagen</w:t>
      </w:r>
    </w:p>
    <w:p>
      <w:r>
        <w:rPr>
          <w:color w:val="555555"/>
          <w:sz w:val="18"/>
        </w:rPr>
        <w:t xml:space="preserve">Historische Fassung: Stand 10.06.2019 bis 15.07.2021. Dies ist nicht die aktuelle Fassung.</w:t>
      </w:r>
    </w:p>
    <w:p>
      <w:r>
        <w:t xml:space="preserve">(1) Abweichend von § 20 Absatz 1 sind bei Feuerungsanlagen, die ausschließlich mit Erdgas betrieben werden, Messungen zur Feststellung der Emissionen an Gesamtstaub und Schwefeloxiden nicht erforderlich. In diesem Fall hat der Betreiber Einzelmessungen für Staub gemäß Absatz 7 durchführen zu lassen und regelmäßig wiederkehrend alle sechs Monate Nachweise über den Schwefelgehalt des eingesetzten Brennstoffs zu führen und der zuständigen Behörde auf Verlangen vorzulegen. Der Betreiber hat die Nachweise jeweils fünf Jahre nach Erstellung aufzubewahren.</w:t>
      </w:r>
    </w:p>
    <w:p>
      <w:r>
        <w:t xml:space="preserve">(2) Abweichend von § 20 Absatz 1 sind bei Feuerungsanlagen, die ausschließlich mit leichtem Heizöl, Dieselkraftstoff oder Erdgas betrieben werden, Messungen zur Feststellung der Emissionen an Schwefeloxiden nicht erforderlich. In diesem Fall hat der Betreiber regelmäßig wiederkehrend alle sechs Monate Nachweise über den Schwefelgehalt und den unteren Heizwert der eingesetzten Brennstoffe zu führen und der zuständigen Behörde auf Verlangen vorzulegen. Der Betreiber hat die Nachweise jeweils fünf Jahre nach Erstellung aufzubewahren.</w:t>
      </w:r>
    </w:p>
    <w:p>
      <w:r>
        <w:t xml:space="preserve">(3) Abweichend von § 20 Absatz 1 sind bei Feuerungsanlagen, die ausschließlich mit Biobrennstoffen betrieben werden, Messungen zur Feststellung der Emissionen an Schwefeloxiden nicht erforderlich, wenn die Emissionsgrenzwerte durch den Einsatz entsprechender Brennstoffe eingehalten werden. In diesem Fall hat der Betreiber regelmäßig wiederkehrend alle sechs Monate Nachweise über den Schwefelgehalt und den unteren Heizwert der eingesetzten Brennstoffe zu führen und der zuständigen Behörde auf Verlangen vorzulegen. Der Betreiber hat die Nachweise jeweils fünf Jahre nach Erstellung aufzubewahren.</w:t>
      </w:r>
    </w:p>
    <w:p>
      <w:r>
        <w:t xml:space="preserve">(4) Abweichend von § 20 Absatz 1 sind bei erdgasbetriebenen Gasturbinen und erdgasbetriebenen Gasmotoren mit einer Feuerungswärmeleistung von weniger als 100 Megawatt Messungen zur Feststellung der Emissionen an Kohlenmonoxid, Stickstoffmonoxid und Stickstoffdioxid nicht erforderlich, wenn durch andere Prüfungen, insbesondere der Prozessbedingungen, sichergestellt ist, dass die Emissionsgrenzwerte eingehalten werden. In diesem Fall hat der Betreiber Einzelmessungen nach Absatz 7 Satz 1 durchführen zu lassen sowie Nachweise über die Korrelation zwischen den Prüfungen und den Emissionsgrenzwerten zu führen und der zuständigen Behörde auf Verlangen vorzulegen. Der Betreiber hat die Nachweise jeweils fünf Jahre nach Erstellung aufzubewahren.</w:t>
      </w:r>
    </w:p>
    <w:p>
      <w:r>
        <w:t xml:space="preserve">(5) Für Quecksilber und seine Verbindungen, angegeben als Quecksilber, soll die zuständige Behörde auf Antrag auf die kontinuierliche Messung verzichten, wenn durch andere Prüfungen, insbesondere der Brennstoffe, sichergestellt ist, dass die Emissionsgrenzwerte nach den §§ 4 und 5 für Quecksilber und seine Verbindungen zu weniger als 50 Prozent in Anspruch genommen werden und sich aus den Einzelmessungen ergibt, dass der Jahresmittelwert nach § 11 Absatz 2 sicher eingehalten wird. In diesem Fall hat der Betreiber regelmäßig wiederkehrend jährlich Einzelmessungen durchführen zu lassen sowie Nachweise über die Korrelation zwischen den Prüfungen und den Emissionsgrenzwerten zu führen und der zuständigen Behörde auf Verlangen vorzulegen. Der Betreiber hat die Nachweise jeweils fünf Jahre nach Ende des Nachweiszeitraums aufzubewahren.</w:t>
      </w:r>
    </w:p>
    <w:p>
      <w:r>
        <w:t xml:space="preserve">(6) Die Nachweise in den Fällen der Absätze 1 bis 5 sind durch Verfahren entsprechend einschlägiger CEN-Normen oder, soweit keine CEN-Normen vorhanden sind, anhand nachgewiesenermaßen gleichwertiger Verfahren zu erbringen. Das Verfahren ist der zuständigen Behörde anzuzeigen und von dieser billigen zu lassen. Die Billigung gilt als erteilt, wenn die zuständige Behörde nicht innerhalb einer Frist von vier Wochen widerspricht.</w:t>
      </w:r>
    </w:p>
    <w:p>
      <w:r>
        <w:t xml:space="preserve">(7) Soweit die vorangehenden Absätze Ausnahmen von der kontinuierlichen Messung von Schwefeldioxid, Stickstoffmonoxid, Stickstoffdioxid, Staub oder Kohlenmonoxid zulassen, und soweit an deren Stelle Einzelmessungen vorzunehmen sind, gilt § 23 Absatz 2 entsprechend. Soweit die vorangehenden Absätze Ausnahmen von der kontinuierlichen Messung von anderen als in Satz 1 genannten Schadstoffen sowie von den Parametern nach § 20 Absatz 1 Satz 1 Nummer 2 oder Nummer 3 zulassen, und soweit an deren Stelle Einzelmessungen vorzunehmen sind, gilt Satz 1 mit der Maßgabe, dass die Einzelmessungen soweit nicht abweichend geregelt wiederkehrend alle drei Jahre durchzuführen sind. Im Übrigen gelten die Vorschriften des § 23 Absatz 3 und 4 und des § 24 entsprechend.</w:t>
      </w:r>
    </w:p>
    <w:p>
      <w:r>
        <w:rPr>
          <w:color w:val="555555"/>
          <w:sz w:val="17"/>
        </w:rPr>
        <w:t xml:space="preserve">Zitiervorschlag: § 21 BImSchV 13 2013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https://recht.nulegal.eu/gesetze/BImSchV%2013%202013/21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