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BImSchV 12 2000 — Sicherheitsbericht</w:t>
      </w:r>
    </w:p>
    <w:p>
      <w:r>
        <w:rPr>
          <w:color w:val="555555"/>
          <w:sz w:val="18"/>
        </w:rPr>
        <w:t xml:space="preserve">Störfall-Verordnung</w:t>
      </w:r>
    </w:p>
    <w:p>
      <w:r>
        <w:rPr>
          <w:color w:val="555555"/>
          <w:sz w:val="18"/>
        </w:rPr>
        <w:t xml:space="preserve">Stand: 10.06.2019 (konsolidierte Textfassung, kein amtliches Inkrafttretensdatum)</w:t>
      </w:r>
    </w:p>
    <w:p>
      <w:r>
        <w:t xml:space="preserve">(1) Der Betreiber eines Betriebsbereichs der oberen Klasse hat einen Sicherheitsbericht nach Absatz 2 zu erstellen, in dem dargelegt wird, dass</w:t>
      </w:r>
    </w:p>
    <w:p>
      <w:pPr>
        <w:ind w:left="420"/>
      </w:pPr>
      <w:r>
        <w:t xml:space="preserve">1. ein Konzept zur Verhinderung von Störfällen umgesetzt wurde und ein Sicherheitsmanagementsystem zu seiner Anwendung gemäß Anhang III vorhanden ist und umgesetzt wurde,</w:t>
      </w:r>
    </w:p>
    <w:p>
      <w:pPr>
        <w:ind w:left="420"/>
      </w:pPr>
      <w:r>
        <w:t xml:space="preserve">2. die Gefahren von Störfällen und mögliche Störfallszenarien ermittelt sowie alle erforderlichen Maßnahmen zur Verhinderung derartiger Störfälle und zur Begrenzung ihrer Auswirkungen auf die menschliche Gesundheit und die Umwelt ergriffen wurden,</w:t>
      </w:r>
    </w:p>
    <w:p>
      <w:pPr>
        <w:ind w:left="420"/>
      </w:pPr>
      <w:r>
        <w:t xml:space="preserve">3. die Auslegung, die Errichtung sowie der Betrieb und die Wartung sämtlicher Teile eines Betriebsbereichs, die im Zusammenhang mit der Gefahr von Störfällen im Betriebsbereich stehen, ausreichend sicher und zuverlässig sind,</w:t>
      </w:r>
    </w:p>
    <w:p>
      <w:pPr>
        <w:ind w:left="420"/>
      </w:pPr>
      <w:r>
        <w:t xml:space="preserve">4. interne Alarm- und Gefahrenabwehrpläne vorliegen und die erforderlichen Informationen zur Erstellung externer Alarm- und Gefahrenabwehrpläne gegeben werden sowie</w:t>
      </w:r>
    </w:p>
    <w:p>
      <w:pPr>
        <w:ind w:left="420"/>
      </w:pPr>
      <w:r>
        <w:t xml:space="preserve">5. ausreichende Informationen bereitgestellt werden, damit die zuständige Behörde Entscheidungen über die Ansiedlung neuer Tätigkeiten oder Entwicklungen in der Nachbarschaft bestehender Betriebsbereiche treffen kann.</w:t>
      </w:r>
    </w:p>
    <w:p>
      <w:r>
        <w:t xml:space="preserve">(2) Der Sicherheitsbericht enthält mindestens die in Anhang II aufgeführten Angaben und Informationen. Er führt die Namen der an der Erstellung des Berichts maßgeblich Beteiligten auf. Er enthält ferner ein Verzeichnis der in dem Betriebsbereich vorhandenen gefährlichen Stoffe auf der Grundlage der Bezeichnungen und Einstufungen in Spalte 2 der Stoffliste des Anhangs I.</w:t>
      </w:r>
    </w:p>
    <w:p>
      <w:r>
        <w:t xml:space="preserve">(3) Der Betreiber kann auf Grund anderer Rechtsvorschriften vorzulegende gleichwertige Berichte oder Teile solcher Berichte zu einem einzigen Sicherheitsbericht im Sinne dieses Paragraphen zusammenfassen, sofern alle Anforderungen dieses Paragraphen beachtet werden.</w:t>
      </w:r>
    </w:p>
    <w:p>
      <w:r>
        <w:t xml:space="preserve">(4) Der Betreiber hat der zuständigen Behörde den Sicherheitsbericht nach den Absätzen 1 und 2 unbeschadet des § 4b Absatz 2 Satz 1 der Verordnung über das Genehmigungsverfahren innerhalb einer angemessenen, von der zuständigen Behörde gesetzten Frist vor Inbetriebnahme vorzulegen.</w:t>
      </w:r>
    </w:p>
    <w:p>
      <w:r>
        <w:t xml:space="preserve">(5) Der Betreiber hat den Sicherheitsbericht zu überprüfen und soweit erforderlich zu aktualisieren, und zwar:</w:t>
      </w:r>
    </w:p>
    <w:p>
      <w:pPr>
        <w:ind w:left="420"/>
      </w:pPr>
      <w:r>
        <w:t xml:space="preserve">1. mindestens alle fünf Jahre,</w:t>
      </w:r>
    </w:p>
    <w:p>
      <w:pPr>
        <w:ind w:left="420"/>
      </w:pPr>
      <w:r>
        <w:t xml:space="preserve">2. bei einer störfallrelevanten Änderung nach § 3 Absatz 5b des Bundes-Immissionsschutzgesetzes,</w:t>
      </w:r>
    </w:p>
    <w:p>
      <w:pPr>
        <w:ind w:left="420"/>
      </w:pPr>
      <w:r>
        <w:t xml:space="preserve">3. nach einem Ereignis nach Anhang VI Teil 1 und</w:t>
      </w:r>
    </w:p>
    <w:p>
      <w:pPr>
        <w:ind w:left="420"/>
      </w:pPr>
      <w:r>
        <w:t xml:space="preserve">4. zu jedem anderen Zeitpunkt, wenn neue Umstände dies erfordern, oder um den neuen sicherheitstechnischen Kenntnisstand sowie aktuelle Erkenntnisse zur Beurteilung der Gefahren zu berücksichtigen.</w:t>
      </w:r>
    </w:p>
    <w:p>
      <w:r>
        <w:t xml:space="preserve">Soweit sich bei der Überprüfung nach Satz 1 herausstellt, dass sich erhebliche Auswirkungen hinsichtlich der mit einem Störfall verbundenen Gefahren ergeben könnten, hat der Betreiber den Sicherheitsbericht unverzüglich zu aktualisieren. Er hat der zuständigen Behörde die aktualisierten Teile des Sicherheitsberichts in Fällen der Nummern 1, 3 und 4 unverzüglich und in Fällen der Nummer 2 mindestens einen Monat vor Durchführung der Änderung vorzulegen.</w:t>
      </w:r>
    </w:p>
    <w:p>
      <w:r>
        <w:t xml:space="preserve">(6) (weggefallen)</w:t>
      </w:r>
    </w:p>
    <w:p>
      <w:r>
        <w:rPr>
          <w:color w:val="555555"/>
          <w:sz w:val="17"/>
        </w:rPr>
        <w:t xml:space="preserve">Zitiervorschlag: § 9 BImSchV 12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https://recht.nulegal.eu/gesetze/BImSchV%2012%202000/9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BImSchV 12 2000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