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BImSchV 12 2000 — Anzeige</w:t>
      </w:r>
    </w:p>
    <w:p>
      <w:r>
        <w:rPr>
          <w:color w:val="555555"/>
          <w:sz w:val="18"/>
        </w:rPr>
        <w:t xml:space="preserve">Störfall-Verordnung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der zuständigen Behörde mindestens einen Monat vor Beginn der Errichtung eines Betriebsbereichs, oder vor einer störfallrelevanten Änderung nach § 3 Absatz 5b des Bundes-Immissionsschutzgesetzes, Folgendes schriftlich anzuzeigen:</w:t>
      </w:r>
    </w:p>
    <w:p>
      <w:pPr>
        <w:ind w:left="420"/>
      </w:pPr>
      <w:r>
        <w:t xml:space="preserve">1. Name oder Firma des Betreibers sowie vollständige Anschrift des betreffenden Betriebsbereichs,</w:t>
      </w:r>
    </w:p>
    <w:p>
      <w:pPr>
        <w:ind w:left="420"/>
      </w:pPr>
      <w:r>
        <w:t xml:space="preserve">2. eingetragener Firmensitz und vollständige Anschrift des Betreibers,</w:t>
      </w:r>
    </w:p>
    <w:p>
      <w:pPr>
        <w:ind w:left="420"/>
      </w:pPr>
      <w:r>
        <w:t xml:space="preserve">3. Name und Funktion der für den Betriebsbereich verantwortlichen Person, falls von der unter Nummer 1 genannten Person abweichend,</w:t>
      </w:r>
    </w:p>
    <w:p>
      <w:pPr>
        <w:ind w:left="420"/>
      </w:pPr>
      <w:r>
        <w:t xml:space="preserve">4. ausreichende Angaben zur Identifizierung der gefährlichen Stoffe und der Gefahrenkategorie von Stoffen, die gemäß § 2 Nummer 5 vorhanden sind,</w:t>
      </w:r>
    </w:p>
    <w:p>
      <w:pPr>
        <w:ind w:left="420"/>
      </w:pPr>
      <w:r>
        <w:t xml:space="preserve">5. Menge und physikalische Form der gefährlichen Stoffe,</w:t>
      </w:r>
    </w:p>
    <w:p>
      <w:pPr>
        <w:ind w:left="420"/>
      </w:pPr>
      <w:r>
        <w:t xml:space="preserve">6. Tätigkeit oder beabsichtigte Tätigkeit in den Anlagen des Betriebsbereichs,</w:t>
      </w:r>
    </w:p>
    <w:p>
      <w:pPr>
        <w:ind w:left="420"/>
      </w:pPr>
      <w:r>
        <w:t xml:space="preserve">7. Gegebenheiten in der unmittelbaren Umgebung des Betriebsbereichs, die einen Störfall auslösen oder dessen Folgen verschlimmern können, einschließlich, soweit verfügbar, Einzelheiten zu</w:t>
      </w:r>
    </w:p>
    <w:p>
      <w:pPr>
        <w:ind w:left="780"/>
      </w:pPr>
      <w:r>
        <w:t xml:space="preserve">a) benachbarten Betriebsbereichen,</w:t>
      </w:r>
    </w:p>
    <w:p>
      <w:pPr>
        <w:ind w:left="780"/>
      </w:pPr>
      <w:r>
        <w:t xml:space="preserve">b) anderen Betriebsstätten, die nicht unter den Anwendungsbereich dieser Verordnung fallen, und</w:t>
      </w:r>
    </w:p>
    <w:p>
      <w:pPr>
        <w:ind w:left="780"/>
      </w:pPr>
      <w:r>
        <w:t xml:space="preserve">c) Bereichen und Entwicklungen, von denen ein Störfall ausgehen könnte oder bei denen sich die Wahrscheinlichkeit des Eintritts eines Störfalls erhöhen kann oder die Auswirkungen eines Störfalls und von Domino-Effekten nach § 15 verschlimmern können.</w:t>
      </w:r>
    </w:p>
    <w:p>
      <w:r>
        <w:t xml:space="preserve">(2) Der Betreiber hat der zuständigen Behörde folgende Änderungen mindestens einen Monat vorher schriftlich anzuzeigen:</w:t>
      </w:r>
    </w:p>
    <w:p>
      <w:pPr>
        <w:ind w:left="420"/>
      </w:pPr>
      <w:r>
        <w:t xml:space="preserve">1. Änderungen der Angaben nach Absatz 1 Nummer 1 bis 3 und</w:t>
      </w:r>
    </w:p>
    <w:p>
      <w:pPr>
        <w:ind w:left="420"/>
      </w:pPr>
      <w:r>
        <w:t xml:space="preserve">2. die Einstellung des Betriebs, des Betriebsbereichs oder einer Anlage des Betriebsbereichs.</w:t>
      </w:r>
    </w:p>
    <w:p>
      <w:r>
        <w:t xml:space="preserve">(3) Der Betreiber hat der zuständigen Behörde störfallrelevante Änderungen nach § 3 Absatz 5b des Bundes-Immissionsschutzgesetzes schriftlich anzuzeigen.</w:t>
      </w:r>
    </w:p>
    <w:p>
      <w:r>
        <w:t xml:space="preserve">(4) Einer gesonderten Anzeige bedarf es nicht, soweit der Betreiber die entsprechenden Angaben der zuständigen Behörde nach Absatz 1 im Rahmen eines Genehmigungs- oder Anzeigeverfahrens vorgelegt hat.</w:t>
      </w:r>
    </w:p>
    <w:p>
      <w:r>
        <w:rPr>
          <w:color w:val="555555"/>
          <w:sz w:val="17"/>
        </w:rPr>
        <w:t xml:space="preserve">Zitiervorschlag: § 7 BImSchV 12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https://recht.nulegal.eu/gesetze/BImSchV%2012%202000/7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BImSchV 12 2000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