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BImSchV 12 2000 — Anforderungen zur Begrenzung von Störfallauswirkungen</w:t>
      </w:r>
    </w:p>
    <w:p>
      <w:r>
        <w:rPr>
          <w:color w:val="555555"/>
          <w:sz w:val="18"/>
        </w:rPr>
        <w:t xml:space="preserve">Störfall-Verordnung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hat zur Erfüllung der sich aus § 3 Absatz 3 ergebenden Pflicht insbesondere</w:t>
      </w:r>
    </w:p>
    <w:p>
      <w:pPr>
        <w:ind w:left="420"/>
      </w:pPr>
      <w:r>
        <w:t xml:space="preserve">1. Maßnahmen zu treffen, damit durch die Beschaffenheit der Fundamente und der tragenden Gebäudeteile bei Störfällen keine zusätzlichen Gefahren hervorgerufen werden können,</w:t>
      </w:r>
    </w:p>
    <w:p>
      <w:pPr>
        <w:ind w:left="420"/>
      </w:pPr>
      <w:r>
        <w:t xml:space="preserve">2. die Anlagen des Betriebsbereichs mit den erforderlichen sicherheitstechnischen Einrichtungen auszurüsten sowie die erforderlichen technischen und organisatorischen Schutzvorkehrungen zu treffen.</w:t>
      </w:r>
    </w:p>
    <w:p>
      <w:r>
        <w:t xml:space="preserve">(2) Der Betreiber hat dafür zu sorgen, dass in einem Störfall die für die Gefahrenabwehr zuständigen Behörden und die Einsatzkräfte unverzüglich, umfassend und sachkundig beraten werden.</w:t>
      </w:r>
    </w:p>
    <w:p>
      <w:r>
        <w:rPr>
          <w:color w:val="555555"/>
          <w:sz w:val="17"/>
        </w:rPr>
        <w:t xml:space="preserve">Zitiervorschlag: § 5 BImSchV 12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https://recht.nulegal.eu/gesetze/BImSchV%2012%202000/5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BImSchV 12 2000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