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BImSchV 12 2000 — Allgemeine Betreiberpflichten</w:t>
      </w:r>
    </w:p>
    <w:p>
      <w:r>
        <w:rPr>
          <w:color w:val="555555"/>
          <w:sz w:val="18"/>
        </w:rPr>
        <w:t xml:space="preserve">Störfall-Verordnung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die nach Art und Ausmaß der möglichen Gefahren erforderlichen Vorkehrungen zu treffen, um Störfälle zu verhindern; Verpflichtungen nach anderen als immissionsschutzrechtlichen Vorschriften bleiben unberührt.</w:t>
      </w:r>
    </w:p>
    <w:p>
      <w:r>
        <w:t xml:space="preserve">(2) Bei der Erfüllung der Pflicht nach Absatz 1 sind</w:t>
      </w:r>
    </w:p>
    <w:p>
      <w:pPr>
        <w:ind w:left="420"/>
      </w:pPr>
      <w:r>
        <w:t xml:space="preserve">1. betriebliche Gefahrenquellen,</w:t>
      </w:r>
    </w:p>
    <w:p>
      <w:pPr>
        <w:ind w:left="420"/>
      </w:pPr>
      <w:r>
        <w:t xml:space="preserve">2. umgebungsbedingte Gefahrenquellen, wie Erdbeben oder Hochwasser, und</w:t>
      </w:r>
    </w:p>
    <w:p>
      <w:pPr>
        <w:ind w:left="420"/>
      </w:pPr>
      <w:r>
        <w:t xml:space="preserve">3. Eingriffe Unbefugter</w:t>
      </w:r>
    </w:p>
    <w:p>
      <w:r>
        <w:t xml:space="preserve">zu berücksichtigen, es sei denn, dass diese Gefahrenquellen oder Eingriffe als Störfallursachen vernünftigerweise ausgeschlossen werden können.</w:t>
      </w:r>
    </w:p>
    <w:p>
      <w:r>
        <w:t xml:space="preserve">(3) Über Absatz 1 hinaus sind vorbeugend Maßnahmen zu treffen, um die Auswirkungen von Störfällen so gering wie möglich zu halten.</w:t>
      </w:r>
    </w:p>
    <w:p>
      <w:r>
        <w:t xml:space="preserve">(4) Die Beschaffenheit und der Betrieb der Anlagen des Betriebsbereichs müssen dem Stand der Sicherheitstechnik entsprechen.</w:t>
      </w:r>
    </w:p>
    <w:p>
      <w:r>
        <w:t xml:space="preserve">(5) Die Wahrung angemessener Sicherheitsabstände zwischen Betriebsbereich und benachbarten Schutzobjekten stellt keine Betreiberpflicht dar.</w:t>
      </w:r>
    </w:p>
    <w:p>
      <w:r>
        <w:rPr>
          <w:color w:val="555555"/>
          <w:sz w:val="17"/>
        </w:rPr>
        <w:t xml:space="preserve">Zitiervorschlag: § 3 BImSchV 12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https://recht.nulegal.eu/gesetze/BImSchV%2012%202000/3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