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BImSchV 12 2000 — Mitteilungspflicht gegenüber dem Betreiber</w:t>
      </w:r>
    </w:p>
    <w:p>
      <w:r>
        <w:rPr>
          <w:color w:val="555555"/>
          <w:sz w:val="18"/>
        </w:rPr>
        <w:t xml:space="preserve">Störfall-Verordnung</w:t>
      </w:r>
    </w:p>
    <w:p>
      <w:r>
        <w:rPr>
          <w:color w:val="555555"/>
          <w:sz w:val="18"/>
        </w:rPr>
        <w:t xml:space="preserve">Stand: 10.06.2019 (konsolidierte Textfassung, kein amtliches Inkrafttretensdatum)</w:t>
      </w:r>
    </w:p>
    <w:p>
      <w:r>
        <w:t xml:space="preserve">Vor Inbetriebnahme eines Betriebsbereichs und nach einer Aktualisierung des Sicherheitsberichts auf Grund der in § 9 Absatz 5 vorgeschriebenen Überprüfungen hat die zuständige Behörde dem Betreiber die Ergebnisse ihrer Prüfung des Sicherheitsberichts, gegebenenfalls nach Anforderung zusätzlicher Informationen, innerhalb einer angemessenen Frist nach Eingang des Sicherheitsberichts mitzuteilen, soweit der Sicherheitsbericht nicht Gegenstand eines immissionsschutzrechtlichen Genehmigungsverfahrens ist. Satz 1 gilt entsprechend in den Fällen des § 20 Absatz 2 Nummer 1 und Absatz 4 Nummer 1.</w:t>
      </w:r>
    </w:p>
    <w:p>
      <w:r>
        <w:rPr>
          <w:color w:val="555555"/>
          <w:sz w:val="17"/>
        </w:rPr>
        <w:t xml:space="preserve">Zitiervorschlag: § 13 BImSchV 12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https://recht.nulegal.eu/gesetze/BImSchV%2012%202000/13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