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BImSchV 12 2000 — Anwendungsbereich</w:t>
      </w:r>
    </w:p>
    <w:p>
      <w:r>
        <w:rPr>
          <w:color w:val="555555"/>
          <w:sz w:val="18"/>
        </w:rPr>
        <w:t xml:space="preserve">Störfall-Verordnung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dieser Verordnung mit Ausnahme der §§ 9 bis 12 gelten für Betriebsbereiche der unteren und der oberen Klasse. Für Betriebsbereiche der oberen Klasse gelten außerdem die Vorschriften der §§ 9 bis 12.</w:t>
      </w:r>
    </w:p>
    <w:p>
      <w:r>
        <w:t xml:space="preserve">(2) Die zuständige Behörde kann im Einzelfall dem Betreiber eines Betriebsbereichs der unteren Klasse, soweit es zur Verhinderung von Störfällen oder zur Begrenzung ihrer Auswirkungen erforderlich ist, Pflichten nach den §§ 9 bis 12 auferlegen.</w:t>
      </w:r>
    </w:p>
    <w:p>
      <w:r>
        <w:t xml:space="preserve">(3) Die Absätze 1 und 2 gelten nicht für Einrichtungen, Gefahren und Tätigkeiten, die in Artikel 2 Absatz 2 Unterabsatz 1 der Richtlinie 2012/18/EU des Europäischen Parlaments und des Rates vom 4. Juli 2012 zur Beherrschung der Gefahren schwerer Unfälle mit gefährlichen Stoffen, zur Änderung und anschließenden Aufhebung der Richtlinie 96/82/EG des Rates (ABl. L 197 vom 24.7.2012, S. 1) genannt sind, es sei denn, es handelt sich um eine in Artikel 2 Absatz 2 Unterabsatz 2 der Richtlinie 2012/18/EU genannte Einrichtung, Gefahr oder Tätigkeit.</w:t>
      </w:r>
    </w:p>
    <w:p>
      <w:r>
        <w:rPr>
          <w:color w:val="555555"/>
          <w:sz w:val="17"/>
        </w:rPr>
        <w:t xml:space="preserve">Zitiervorschlag: § 1 BImSchV 12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https://recht.nulegal.eu/gesetze/BImSchV%2012%202000/1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BImSchV 12 2000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