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 BImSchV 1 2010 — Weitergehende Anforderungen</w:t>
      </w:r>
    </w:p>
    <w:p>
      <w:r>
        <w:rPr>
          <w:color w:val="555555"/>
          <w:sz w:val="18"/>
        </w:rPr>
        <w:t xml:space="preserve">Verordnung über kleine und mittlere Feuerungsanlagen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 der zuständigen Behörde, auf Grund der §§ 24 und 25 des Bundes-Immissionsschutzgesetzes andere oder weiter gehende Anordnungen zu treffen, bleibt unberührt.</w:t>
      </w:r>
    </w:p>
    <w:p>
      <w:r>
        <w:rPr>
          <w:color w:val="555555"/>
          <w:sz w:val="17"/>
        </w:rPr>
        <w:t xml:space="preserve">Zitiervorschlag: § 21 BImSchV 1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https://recht.nulegal.eu/gesetze/BImSchV%201%202010/21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 BImSchV 1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