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BImSchG — Teilgenehmigung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25.02.2021 (konsolidierte Textfassung, kein amtliches Inkrafttretensdatum)</w:t>
      </w:r>
    </w:p>
    <w:p>
      <w:r>
        <w:t xml:space="preserve">Auf Antrag soll eine Genehmigung für die Errichtung einer Anlage oder eines Teils einer Anlage oder für die Errichtung und den Betrieb eines Teils einer Anlage erteilt werden, wenn</w:t>
      </w:r>
    </w:p>
    <w:p>
      <w:pPr>
        <w:ind w:left="420"/>
      </w:pPr>
      <w:r>
        <w:t xml:space="preserve">1. ein berechtigtes Interesse an der Erteilung einer Teilgenehmigung besteht,</w:t>
      </w:r>
    </w:p>
    <w:p>
      <w:pPr>
        <w:ind w:left="420"/>
      </w:pPr>
      <w:r>
        <w:t xml:space="preserve">2. die Genehmigungsvoraussetzungen für den beantragten Gegenstand der Teilgenehmigung vorliegen und</w:t>
      </w:r>
    </w:p>
    <w:p>
      <w:pPr>
        <w:ind w:left="420"/>
      </w:pPr>
      <w:r>
        <w:t xml:space="preserve">3. eine vorläufige Beurteilung ergibt, dass der Errichtung und dem Betrieb der gesamten Anlage keine von vornherein unüberwindlichen Hindernisse im Hinblick auf die Genehmigungsvoraussetzungen entgegenstehen.</w:t>
      </w:r>
    </w:p>
    <w:p>
      <w:r>
        <w:t xml:space="preserve">Die Bindungswirkung der vorläufigen Gesamtbeurteilung entfällt, wenn eine Änderung der Sach- oder Rechtslage oder Einzelprüfungen im Rahmen späterer Teilgenehmigungen zu einer von der vorläufigen Gesamtbeurteilung abweichenden Beurteilung führen.</w:t>
      </w:r>
    </w:p>
    <w:p>
      <w:r>
        <w:rPr>
          <w:color w:val="555555"/>
          <w:sz w:val="17"/>
        </w:rPr>
        <w:t xml:space="preserve">Zitiervorschlag: § 8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