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 BImSchG — Fortgeltung von Vorschriften</w:t>
      </w:r>
    </w:p>
    <w:p>
      <w:r>
        <w:rPr>
          <w:color w:val="555555"/>
          <w:sz w:val="18"/>
        </w:rPr>
        <w:t xml:space="preserve">Bundes-Immissionsschutzgesetz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(weggefallen)</w:t>
      </w:r>
    </w:p>
    <w:p>
      <w:r>
        <w:t xml:space="preserve">(2) Bis zum Inkrafttreten von entsprechenden Rechtsverordnungen oder allgemeinen Verwaltungsvorschriften nach diesem Gesetz ist die Allgemeine Verwaltungsvorschrift zum Schutz gegen Baulärm – Geräuschimmissionen – vom 19. August 1970 (Beilage zum BAnz. Nr. 160 vom 1. September 1970) maßgebend.</w:t>
      </w:r>
    </w:p>
    <w:p>
      <w:r>
        <w:rPr>
          <w:color w:val="555555"/>
          <w:sz w:val="17"/>
        </w:rPr>
        <w:t xml:space="preserve">Zitiervorschlag: § 66 BImSchG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https://recht.nulegal.eu/gesetze/BImSchG/66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