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62a BImSchG — Bußgeldvorschriften zur Verordnung (EU) 2023/2405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09.06.2026 (konsolidierte Textfassung, kein amtliches Inkrafttretensdatum)</w:t>
      </w:r>
    </w:p>
    <w:p>
      <w:r>
        <w:t xml:space="preserve">(1) Ordnungswidrig handelt, wer gegen die Verordnung (EU) 2023/2405 in der Fassung vom 18. Oktober 2023 verstößt, indem er vorsätzlich oder fahrlässig</w:t>
      </w:r>
    </w:p>
    <w:p>
      <w:pPr>
        <w:ind w:left="420"/>
      </w:pPr>
      <w:r>
        <w:t xml:space="preserve">1. entgegen Artikel 4 Absatz 7 eine dort genannte Fehlmenge nicht, nicht vollständig oder nicht rechtzeitig ergänzt,</w:t>
      </w:r>
    </w:p>
    <w:p>
      <w:pPr>
        <w:ind w:left="420"/>
      </w:pPr>
      <w:r>
        <w:t xml:space="preserve">2. entgegen Artikel 6 Absatz 4 oder Artikel 9 Absatz 2 oder 3 Satz 3 oder 5 eine dort genannte Information nicht, nicht richtig, nicht vollständig oder nicht rechtzeitig zur Verfügung stellt oder</w:t>
      </w:r>
    </w:p>
    <w:p>
      <w:pPr>
        <w:ind w:left="420"/>
      </w:pPr>
      <w:r>
        <w:t xml:space="preserve">3. entgegen Artikel 10 Unterabsatz 1 ab dem Berichtsjahr 2027 eine Angabe nicht, nicht richtig, nicht vollständig oder nicht rechtzeitig macht.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Verwaltungsbehörden im Sinne des § 36 Absatz 1 Nummer 1 des Gesetzes über Ordnungswidrigkeiten sind die Stellen nach § 37m Absatz 1 Satz 1 jeweils für ihren Geschäftsbereich.</w:t>
      </w:r>
    </w:p>
    <w:p>
      <w:r>
        <w:rPr>
          <w:color w:val="555555"/>
          <w:sz w:val="17"/>
        </w:rPr>
        <w:t xml:space="preserve">Zitiervorschlag: § 62a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https://recht.nulegal.eu/gesetze/BImSchG/62a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