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61 BImSchG — Berichterstattung an die Europäische Kommission</w:t>
      </w:r>
    </w:p>
    <w:p>
      <w:r>
        <w:rPr>
          <w:color w:val="555555"/>
          <w:sz w:val="18"/>
        </w:rPr>
        <w:t xml:space="preserve">Bundes-Immissionsschutzgesetz</w:t>
      </w:r>
    </w:p>
    <w:p>
      <w:r>
        <w:rPr>
          <w:color w:val="555555"/>
          <w:sz w:val="18"/>
        </w:rPr>
        <w:t xml:space="preserve">Stand: 15.12.2020 (konsolidierte Textfassung, kein amtliches Inkrafttretensdatum)</w:t>
      </w:r>
    </w:p>
    <w:p>
      <w:r>
        <w:t xml:space="preserve">(1) Die Länder übermitteln dem Bundesministerium für Umwelt, Naturschutz und nukleare Sicherheit nach dessen Vorgaben Informationen über die Umsetzung der Richtlinie 2010/75/EU, insbesondere über repräsentative Daten über Emissionen und sonstige Arten von Umweltverschmutzung, über Emissionsgrenzwerte und darüber, inwieweit der Stand der Technik angewendet wird. Die Länder stellen diese Informationen auf elektronischem Wege zur Verfügung. Art und Form der von den Ländern zu übermittelnden Informationen sowie der Zeitpunkt ihrer Übermittlung richten sich nach den Anforderungen, die auf der Grundlage von Artikel 72 Absatz 2 der Richtlinie 2010/75/EU festgelegt werden. § 5 Absatz 1 Satz 2 und Absatz 2 bis 6 des Gesetzes zur Ausführung des Protokolls über Schadstofffreisetzungs- und -verbringungsregister vom 21. Mai 2003 sowie zur Durchführung der Verordnung (EG) Nr. 166/2006 vom 6. Juni 2007 (BGBl. I S. 1002), das durch Artikel 1 des Gesetzes vom 9. Dezember 2020 (BGBl. I S. 2873) geändert worden ist, gilt entsprechend.</w:t>
      </w:r>
    </w:p>
    <w:p>
      <w:r>
        <w:t xml:space="preserve">(2) Die Länder übermitteln dem Bundesministerium für Umwelt, Naturschutz und nukleare Sicherheit nach dessen Vorgaben Informationen über die Umsetzung der Richtlinie 2012/18/EU sowie über die unter diese Richtlinie fallenden Betriebsbereiche. Art und Form der von den Ländern zu übermittelnden Informationen sowie der Zeitpunkt ihrer Übermittlung richten sich nach den Anforderungen, die auf der Grundlage von Artikel 21 Absatz 5 der Richtlinie 2012/18/EU festgelegt werden. Absatz 1 Satz 2 und 4 gilt entsprechend.</w:t>
      </w:r>
    </w:p>
    <w:p>
      <w:r>
        <w:rPr>
          <w:color w:val="555555"/>
          <w:sz w:val="17"/>
        </w:rPr>
        <w:t xml:space="preserve">Zitiervorschlag: § 61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https://recht.nulegal.eu/gesetze/BImSchG/61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61 BImSchG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