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BImSchG — Genehmigungsvoraussetzungen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ist zu erteilen, wenn</w:t>
      </w:r>
    </w:p>
    <w:p>
      <w:pPr>
        <w:ind w:left="420"/>
      </w:pPr>
      <w:r>
        <w:t xml:space="preserve">1. sichergestellt ist, dass die sich aus § 5 und einer auf Grund des § 7 erlassenen Rechtsverordnung ergebenden Pflichten erfüllt werden, und</w:t>
      </w:r>
    </w:p>
    <w:p>
      <w:pPr>
        <w:ind w:left="420"/>
      </w:pPr>
      <w:r>
        <w:t xml:space="preserve">2. andere öffentlich-rechtliche Vorschriften und Belange des Arbeitsschutzes der Errichtung und dem Betrieb der Anlage nicht entgegenstehen.</w:t>
      </w:r>
    </w:p>
    <w:p>
      <w:r>
        <w:t xml:space="preserve">(2) Bei Anlagen, die unterschiedlichen Betriebsweisen dienen oder in denen unterschiedliche Stoffe eingesetzt werden (Mehrzweck- oder Vielstoffanlagen), ist die Genehmigung auf Antrag auf die unterschiedlichen Betriebsweisen und Stoffe zu erstrecken, wenn die Voraussetzungen nach Absatz 1 für alle erfassten Betriebsweisen und Stoffe erfüllt sind.</w:t>
      </w:r>
    </w:p>
    <w:p>
      <w:r>
        <w:t xml:space="preserve">(3) Eine beantragte Änderungsgenehmigung darf auch dann nicht versagt werden, wenn zwar nach ihrer Durchführung nicht alle Immissionswerte einer Verwaltungsvorschrift nach § 48 oder einer Rechtsverordnung nach § 48a eingehalten werden, wenn aber</w:t>
      </w:r>
    </w:p>
    <w:p>
      <w:pPr>
        <w:ind w:left="420"/>
      </w:pPr>
      <w:r>
        <w:t xml:space="preserve">1. der Immissionsbeitrag der Anlage unter Beachtung des § 17 Absatz 3a Satz 3 durch das Vorhaben deutlich und über das durch nachträgliche Anordnungen nach § 17 Absatz 1 durchsetzbare Maß reduziert wird,</w:t>
      </w:r>
    </w:p>
    <w:p>
      <w:pPr>
        <w:ind w:left="420"/>
      </w:pPr>
      <w:r>
        <w:t xml:space="preserve">2. weitere Maßnahmen zur Luftreinhaltung, insbesondere Maßnahmen, die über den Stand der Technik bei neu zu errichtenden Anlagen hinausgehen, durchgeführt werden,</w:t>
      </w:r>
    </w:p>
    <w:p>
      <w:pPr>
        <w:ind w:left="420"/>
      </w:pPr>
      <w:r>
        <w:t xml:space="preserve">3. der Antragsteller darüber hinaus einen Immissionsmanagementplan zur Verringerung seines Verursacheranteils vorlegt, um eine spätere Einhaltung der Anforderungen nach § 5 Absatz 1 Nummer 1 zu erreichen, und</w:t>
      </w:r>
    </w:p>
    <w:p>
      <w:pPr>
        <w:ind w:left="420"/>
      </w:pPr>
      <w:r>
        <w:t xml:space="preserve">4. die konkreten Umstände einen Widerruf der Genehmigung nicht erfordern.</w:t>
      </w:r>
    </w:p>
    <w:p>
      <w:r>
        <w:rPr>
          <w:color w:val="555555"/>
          <w:sz w:val="17"/>
        </w:rPr>
        <w:t xml:space="preserve">Zitiervorschlag: § 6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