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58d BImSchG — Verbot der Benachteiligung des Störfallbeauftragten, Kündigungsschutz</w:t>
      </w:r>
    </w:p>
    <w:p>
      <w:r>
        <w:rPr>
          <w:color w:val="555555"/>
          <w:sz w:val="18"/>
        </w:rPr>
        <w:t xml:space="preserve">Bundes-Immissionsschutzgesetz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§ 58 gilt für den Störfallbeauftragten entsprechend.</w:t>
      </w:r>
    </w:p>
    <w:p>
      <w:r>
        <w:rPr>
          <w:color w:val="555555"/>
          <w:sz w:val="17"/>
        </w:rPr>
        <w:t xml:space="preserve">Zitiervorschlag: § 58d BImSchG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https://recht.nulegal.eu/gesetze/BImSchG/58d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