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58c BImSchG — Pflichten und Rechte des Betreibers gegenüber dem Störfallbeauftragten</w:t>
      </w:r>
    </w:p>
    <w:p>
      <w:r>
        <w:rPr>
          <w:color w:val="555555"/>
          <w:sz w:val="18"/>
        </w:rPr>
        <w:t xml:space="preserve">Bundes-Immissionsschutzgesetz</w:t>
      </w:r>
    </w:p>
    <w:p>
      <w:r>
        <w:rPr>
          <w:color w:val="555555"/>
          <w:sz w:val="18"/>
        </w:rPr>
        <w:t xml:space="preserve">Stand: 25.02.2021 (konsolidierte Textfassung, kein amtliches Inkrafttretensdatum)</w:t>
      </w:r>
    </w:p>
    <w:p>
      <w:r>
        <w:t xml:space="preserve">(1) Die in den §§ 55 und 57 genannten Pflichten des Betreibers gelten gegenüber dem Störfallbeauftragten entsprechend; in Rechtsverordnungen nach § 55 Absatz 2 Satz 3 kann auch geregelt werden, welche Anforderungen an die Fachkunde und Zuverlässigkeit des Störfallbeauftragten zu stellen sind.</w:t>
      </w:r>
    </w:p>
    <w:p>
      <w:r>
        <w:t xml:space="preserve">(2) Der Betreiber hat vor Investitionsentscheidungen sowie vor der Planung von Betriebsanlagen und der Einführung von Arbeitsverfahren und Arbeitsstoffen eine Stellungnahme des Störfallbeauftragten einzuholen, wenn diese Entscheidungen für die Sicherheit der Anlage bedeutsam sein können. Die Stellungnahme ist so rechtzeitig einzuholen, dass sie bei den Entscheidungen nach Satz 1 angemessen berücksichtigt werden kann; sie ist derjenigen Stelle vorzulegen, die die Entscheidungen trifft.</w:t>
      </w:r>
    </w:p>
    <w:p>
      <w:r>
        <w:t xml:space="preserve">(3) Der Betreiber kann dem Störfallbeauftragten für die Beseitigung und die Begrenzung der Auswirkungen von Störungen des bestimmungsgemäßen Betriebs, die zu Gefahren für die Allgemeinheit und die Nachbarschaft führen können oder bereits geführt haben, Entscheidungsbefugnisse übertragen.</w:t>
      </w:r>
    </w:p>
    <w:p>
      <w:r>
        <w:rPr>
          <w:color w:val="555555"/>
          <w:sz w:val="17"/>
        </w:rPr>
        <w:t xml:space="preserve">Zitiervorschlag: § 58c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https://recht.nulegal.eu/gesetze/BImSchG/58c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58c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