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56 BImSchG — Stellungnahme zu Entscheidungen des Betreibers</w:t>
      </w:r>
    </w:p>
    <w:p>
      <w:r>
        <w:rPr>
          <w:color w:val="555555"/>
          <w:sz w:val="18"/>
        </w:rPr>
        <w:t xml:space="preserve">Bundes-Immissionsschutzgesetz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Betreiber hat vor Entscheidungen über die Einführung von Verfahren und Erzeugnissen sowie vor Investitionsentscheidungen eine Stellungnahme des Immissionsschutzbeauftragten einzuholen, wenn die Entscheidungen für den Immissionsschutz bedeutsam sein können.</w:t>
      </w:r>
    </w:p>
    <w:p>
      <w:r>
        <w:t xml:space="preserve">(2) Die Stellungnahme ist so rechtzeitig einzuholen, dass sie bei den Entscheidungen nach Absatz 1 angemessen berücksichtigt werden kann; sie ist derjenigen Stelle vorzulegen, die über die Einführung von Verfahren und Erzeugnissen sowie über die Investition entscheidet.</w:t>
      </w:r>
    </w:p>
    <w:p>
      <w:r>
        <w:rPr>
          <w:color w:val="555555"/>
          <w:sz w:val="17"/>
        </w:rPr>
        <w:t xml:space="preserve">Zitiervorschlag: § 56 BImSchG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https://recht.nulegal.eu/gesetze/BImSchG/56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56 BImSchG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