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BImSchG — Schutz bestimmter Gebiete</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Die Landesregierungen werden ermächtigt, durch Rechtsverordnung vorzuschreiben, dass in näher zu bestimmenden Gebieten, die eines besonderen Schutzes vor schädlichen Umwelteinwirkungen durch Luftverunreinigungen oder Geräusche bedürfen, bestimmte</w:t>
      </w:r>
    </w:p>
    <w:p>
      <w:pPr>
        <w:ind w:left="420"/>
      </w:pPr>
      <w:r>
        <w:t xml:space="preserve">1. ortsveränderliche Anlagen nicht betrieben werden dürfen,</w:t>
      </w:r>
    </w:p>
    <w:p>
      <w:pPr>
        <w:ind w:left="420"/>
      </w:pPr>
      <w:r>
        <w:t xml:space="preserve">2. ortsfeste Anlagen nicht errichtet werden dürfen,</w:t>
      </w:r>
    </w:p>
    <w:p>
      <w:pPr>
        <w:ind w:left="420"/>
      </w:pPr>
      <w:r>
        <w:t xml:space="preserve">3. ortsveränderliche oder ortsfeste Anlagen nur zu bestimmten Zeiten betrieben werden dürfen oder erhöhten betriebstechnischen Anforderungen genügen müssen oder</w:t>
      </w:r>
    </w:p>
    <w:p>
      <w:pPr>
        <w:ind w:left="420"/>
      </w:pPr>
      <w:r>
        <w:t xml:space="preserve">4. Brennstoffe in Anlagen nicht oder nur beschränkt verwendet werden dürfen,</w:t>
      </w:r>
    </w:p>
    <w:p>
      <w:r>
        <w:t xml:space="preserve">soweit die Anlagen oder Brennstoffe geeignet sind, schädliche Umwelteinwirkungen durch Luftverunreinigungen oder Geräusche hervorzurufen, die mit dem besonderen Schutzbedürfnis dieser Gebiete nicht vereinbar sind, und die Luftverunreinigungen und Geräusche durch Auflagen nicht verhindert werden können.</w:t>
      </w:r>
    </w:p>
    <w:p>
      <w:r>
        <w:t xml:space="preserve">(2) Die Landesregierungen werden ermächtigt, durch Rechtsverordnung Gebiete festzusetzen, in denen während austauscharmer Wetterlagen ein starkes Anwachsen schädlicher Umwelteinwirkungen durch Luftverunreinigungen zu befürchten ist. In der Rechtsverordnung kann vorgeschrieben werden, dass in diesen Gebieten</w:t>
      </w:r>
    </w:p>
    <w:p>
      <w:pPr>
        <w:ind w:left="420"/>
      </w:pPr>
      <w:r>
        <w:t xml:space="preserve">1. ortsveränderliche oder ortsfeste Anlagen nur zu bestimmten Zeiten betrieben oder</w:t>
      </w:r>
    </w:p>
    <w:p>
      <w:pPr>
        <w:ind w:left="420"/>
      </w:pPr>
      <w:r>
        <w:t xml:space="preserve">2. Brennstoffe, die in besonderem Maße Luftverunreinigungen hervorrufen, in Anlagen nicht oder nur beschränkt verwendet</w:t>
      </w:r>
    </w:p>
    <w:p>
      <w:r>
        <w:t xml:space="preserve">werden dürfen, sobald die austauscharme Wetterlage von der zuständigen Behörde bekannt gegeben wird.</w:t>
      </w:r>
    </w:p>
    <w:p>
      <w:r>
        <w:t xml:space="preserve">(3) Landesrechtliche Ermächtigungen für die Gemeinden und Gemeindeverbände zum Erlass von ortsrechtlichen Vorschriften, die Regelungen zum Schutz der Bevölkerung vor schädlichen Umwelteinwirkungen durch Luftverunreinigungen oder Geräusche zum Gegenstand haben, bleiben unberührt.</w:t>
      </w:r>
    </w:p>
    <w:p>
      <w:r>
        <w:rPr>
          <w:color w:val="555555"/>
          <w:sz w:val="17"/>
        </w:rPr>
        <w:t xml:space="preserve">Zitiervorschlag: § 49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