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BImSchG — Verwaltungsvorschriften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Bundesregierung erlässt nach Anhörung der beteiligten Kreise (§ 51) mit Zustimmung des Bundesrates zur Durchführung dieses Gesetzes und der auf Grund dieses Gesetzes erlassenen Rechtsverordnungen des Bundes allgemeine Verwaltungsvorschriften, insbesondere über</w:t>
      </w:r>
    </w:p>
    <w:p>
      <w:pPr>
        <w:ind w:left="420"/>
      </w:pPr>
      <w:r>
        <w:t xml:space="preserve">1. Immissionswerte, die zu dem in § 1 genannten Zweck nicht überschritten werden dürfen,</w:t>
      </w:r>
    </w:p>
    <w:p>
      <w:pPr>
        <w:ind w:left="420"/>
      </w:pPr>
      <w:r>
        <w:t xml:space="preserve">2. Emissionswerte, deren Überschreiten nach dem Stand der Technik vermeidbar ist,</w:t>
      </w:r>
    </w:p>
    <w:p>
      <w:pPr>
        <w:ind w:left="420"/>
      </w:pPr>
      <w:r>
        <w:t xml:space="preserve">3. das Verfahren zur Ermittlung der Emissionen und Immissionen,</w:t>
      </w:r>
    </w:p>
    <w:p>
      <w:pPr>
        <w:ind w:left="420"/>
      </w:pPr>
      <w:r>
        <w:t xml:space="preserve">4. die von der zuständigen Behörde zu treffenden Maßnahmen bei Anlagen, für die Regelungen in einer Rechtsverordnung nach § 7 Absatz 2 oder 3 vorgesehen werden können, unter Berücksichtigung insbesondere der dort genannten Voraussetzungen,</w:t>
      </w:r>
    </w:p>
    <w:p>
      <w:pPr>
        <w:ind w:left="420"/>
      </w:pPr>
      <w:r>
        <w:t xml:space="preserve">5. äquivalente Parameter oder äquivalente technische Maßnahmen zu Emissionswerten,</w:t>
      </w:r>
    </w:p>
    <w:p>
      <w:pPr>
        <w:ind w:left="420"/>
      </w:pPr>
      <w:r>
        <w:t xml:space="preserve">6. angemessene Sicherheitsabstände gemäß § 3 Absatz 5c.</w:t>
      </w:r>
    </w:p>
    <w:p>
      <w:r>
        <w:t xml:space="preserve">Bei der Festlegung der Anforderungen sind insbesondere mögliche Verlagerungen von nachteiligen Auswirkungen von einem Schutzgut auf ein anderes zu berücksichtigen; ein hohes Schutzniveau für die Umwelt insgesamt ist zu gewährleisten.</w:t>
      </w:r>
    </w:p>
    <w:p>
      <w:r>
        <w:t xml:space="preserve">(1a) Nach jeder Veröffentlichung einer BVT-Schlussfolgerung ist unverzüglich zu gewährleisten, dass für Anlagen nach der Industrieemissions-Richtlinie bei der Festlegung von Emissionswerten nach Absatz 1 Satz 1 Nummer 2 die Emissionen unter normalen Betriebsbedingungen die in den BVT-Schlussfolgerungen genannten Emissionsbandbreiten nicht überschreiten. Im Hinblick auf bestehende Anlagen ist innerhalb eines Jahres nach Veröffentlichung von BVT-Schlussfolgerungen zur Haupttätigkeit eine Überprüfung und gegebenenfalls Anpassung der Verwaltungsvorschrift vorzunehmen.</w:t>
      </w:r>
    </w:p>
    <w:p>
      <w:r>
        <w:t xml:space="preserve">(1b) Abweichend von Absatz 1a</w:t>
      </w:r>
    </w:p>
    <w:p>
      <w:pPr>
        <w:ind w:left="420"/>
      </w:pPr>
      <w:r>
        <w:t xml:space="preserve">1. können in der Verwaltungsvorschrift weniger strenge Emissionswerte festgelegt werden, wenn</w:t>
      </w:r>
    </w:p>
    <w:p>
      <w:pPr>
        <w:ind w:left="780"/>
      </w:pPr>
      <w:r>
        <w:t xml:space="preserve">a) wegen technischer Merkmale der betroffenen Anlagenart die Anwendung der in den BVT-Schlussfolgerungen genannten Emissionsbandbreiten unverhältnismäßig wäre und dies begründet wird oder</w:t>
      </w:r>
    </w:p>
    <w:p>
      <w:pPr>
        <w:ind w:left="780"/>
      </w:pPr>
      <w:r>
        <w:t xml:space="preserve">b)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 oder</w:t>
      </w:r>
    </w:p>
    <w:p>
      <w:pPr>
        <w:ind w:left="420"/>
      </w:pPr>
      <w:r>
        <w:t xml:space="preserve">2. kann in der Verwaltungsvorschrift bestimmt werden, dass die zuständige Behörde weniger strenge Emissionsbegrenzungen festlegen kann, wenn</w:t>
      </w:r>
    </w:p>
    <w:p>
      <w:pPr>
        <w:ind w:left="780"/>
      </w:pPr>
      <w:r>
        <w:t xml:space="preserve">a) wegen technischer Merkmale der betroffenen Anlagen die Anwendung der in den BVT-Schlussfolgerungen genannten Emissionsbandbreiten unverhältnismäßig wäre oder</w:t>
      </w:r>
    </w:p>
    <w:p>
      <w:pPr>
        <w:ind w:left="780"/>
      </w:pPr>
      <w:r>
        <w:t xml:space="preserve">b)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w:t>
      </w:r>
    </w:p>
    <w:p>
      <w:r>
        <w:t xml:space="preserve">Absatz 1 Satz 2 bleibt unberührt. Emissionswerte und Emissionsbegrenzungen nach Satz 1 dürfen die in den Anhängen der Richtlinie 2010/75/EU festgelegten Emissionsgrenzwerte nicht überschreiten.</w:t>
      </w:r>
    </w:p>
    <w:p>
      <w:r>
        <w:t xml:space="preserve">(2) (weggefallen)</w:t>
      </w:r>
    </w:p>
    <w:p>
      <w:r>
        <w:rPr>
          <w:color w:val="555555"/>
          <w:sz w:val="17"/>
        </w:rPr>
        <w:t xml:space="preserve">Zitiervorschlag: § 48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