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47f BImSchG — Rechtsverordnungen</w:t>
      </w:r>
    </w:p>
    <w:p>
      <w:r>
        <w:rPr>
          <w:color w:val="555555"/>
          <w:sz w:val="18"/>
        </w:rPr>
        <w:t xml:space="preserve">Bundes-Immissionsschutzgesetz</w:t>
      </w:r>
    </w:p>
    <w:p>
      <w:r>
        <w:rPr>
          <w:color w:val="555555"/>
          <w:sz w:val="18"/>
        </w:rPr>
        <w:t xml:space="preserve">Stand: 07.11.2024 (konsolidierte Textfassung, kein amtliches Inkrafttretensdatum)</w:t>
      </w:r>
    </w:p>
    <w:p>
      <w:r>
        <w:t xml:space="preserve">(1) Die Bundesregierung wird ermächtigt, nach Anhörung der beteiligten Kreise (§ 51) durch Rechtsverordnung mit Zustimmung des Bundesrates weitere Regelungen zur Umsetzung der Richtlinie 2002/49/EG in deutsches Recht zu erlassen, insbesondere</w:t>
      </w:r>
    </w:p>
    <w:p>
      <w:pPr>
        <w:ind w:left="420"/>
      </w:pPr>
      <w:r>
        <w:t xml:space="preserve">1. zur Definition von Lärmindizes und zu ihrer Anwendung,</w:t>
      </w:r>
    </w:p>
    <w:p>
      <w:pPr>
        <w:ind w:left="420"/>
      </w:pPr>
      <w:r>
        <w:t xml:space="preserve">2. zu den Berechnungsmethoden für Lärmindizes und zur Bewertung gesundheitsschädlicher Auswirkungen,</w:t>
      </w:r>
    </w:p>
    <w:p>
      <w:pPr>
        <w:ind w:left="420"/>
      </w:pPr>
      <w:r>
        <w:t xml:space="preserve">3. zur Information der Öffentlichkeit über zuständige Behörden sowie Lärmkarten und Lärmaktionspläne,</w:t>
      </w:r>
    </w:p>
    <w:p>
      <w:pPr>
        <w:ind w:left="420"/>
      </w:pPr>
      <w:r>
        <w:t xml:space="preserve">4. zu Kriterien für die Festlegung von Maßnahmen in Lärmaktionsplänen.</w:t>
      </w:r>
    </w:p>
    <w:p>
      <w:r>
        <w:t xml:space="preserve">Passt die Kommission gemäß Artikel 12 der Richtlinie 2002/49/EG deren Anhang I Abschnitt 3, Anhang II und Anhang III nach dem Verfahren des Artikels 12a der Richtlinie 2002/49/EG des Europäischen Parlaments und des Rates vom 25. Juni 2002 über die Bewertung und Bekämpfung von Umgebungslärm (ABl. L 189 vom 18.7.2002, S. 12), die zuletzt durch Artikel 1 der Richtlinie (EU) 2021/1226 (ABl. 2021 L 269 vom 28.7.2021, S. 65) geändert worden ist an den wissenschaftlichen und technischen Fortschritt an, gilt Satz 1 auch insoweit.</w:t>
      </w:r>
    </w:p>
    <w:p>
      <w:r>
        <w:t xml:space="preserve">(2) Die Bundesregierung wird ermächtigt, nach Anhörung der beteiligten Kreise (§ 51) durch Rechtsverordnung mit Zustimmung des Bundesrates weitere Regelungen zu erlassen</w:t>
      </w:r>
    </w:p>
    <w:p>
      <w:pPr>
        <w:ind w:left="420"/>
      </w:pPr>
      <w:r>
        <w:t xml:space="preserve">1. zum Format und Inhalt von Lärmkarten und Lärmaktionsplänen,</w:t>
      </w:r>
    </w:p>
    <w:p>
      <w:pPr>
        <w:ind w:left="420"/>
      </w:pPr>
      <w:r>
        <w:t xml:space="preserve">2. zur Datenerhebung und Datenübermittlung.</w:t>
      </w:r>
    </w:p>
    <w:p>
      <w:r>
        <w:rPr>
          <w:color w:val="555555"/>
          <w:sz w:val="17"/>
        </w:rPr>
        <w:t xml:space="preserve">Zitiervorschlag: § 47f BImSchG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https://recht.nulegal.eu/gesetze/BImSchG/47f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