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47e BImSchG — Zuständige Behörden</w:t>
      </w:r>
    </w:p>
    <w:p>
      <w:r>
        <w:rPr>
          <w:color w:val="555555"/>
          <w:sz w:val="18"/>
        </w:rPr>
        <w:t xml:space="preserve">Bundes-Immissionsschutzgesetz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Zuständige Behörden für die Aufgaben dieses Teils des Gesetzes sind die Gemeinden oder die nach Landesrecht zuständigen Behörden, soweit nicht nachstehend Abweichendes geregelt ist.</w:t>
      </w:r>
    </w:p>
    <w:p>
      <w:r>
        <w:t xml:space="preserve">(2) Die obersten Landesbehörden oder die von ihnen benannten Stellen sind zuständig für die Mitteilungen nach § 47c Absatz 5 und 6 sowie nach § 47d Absatz 7.</w:t>
      </w:r>
    </w:p>
    <w:p>
      <w:r>
        <w:t xml:space="preserve">(3) Das Eisenbahn-Bundesamt ist zuständig für die Ausarbeitung der Lärmkarten für Schienenwege von Eisenbahnen des Bundes nach § 47c sowie insoweit für die Mitteilung der Haupteisenbahnstrecken nach § 47c Absatz 5, für die Mitteilung der Informationen nach § 47c Absatz 6 und für die Information der Öffentlichkeit über Lärmkarten nach § 47f Absatz 1 Satz 1 Nummer 3.</w:t>
      </w:r>
    </w:p>
    <w:p>
      <w:r>
        <w:t xml:space="preserve">(4) Abweichend von Absatz 1 ist ab dem 1. Januar 2015 das Eisenbahn-Bundesamt zuständig für die Aufstellung eines bundesweiten Lärmaktionsplanes für die Haupteisenbahnstrecken des Bundes mit Maßnahmen in Bundeshoheit. Bei Lärmaktionsplänen für Ballungsräume wirkt das Eisenbahn-Bundesamt an der Lärmaktionsplanung mit.</w:t>
      </w:r>
    </w:p>
    <w:p>
      <w:r>
        <w:rPr>
          <w:color w:val="555555"/>
          <w:sz w:val="17"/>
        </w:rPr>
        <w:t xml:space="preserve">Zitiervorschlag: § 47e BImSchG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https://recht.nulegal.eu/gesetze/BImSchG/47e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