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BImSchG — Verbesserung der Luftqualität</w:t>
      </w:r>
    </w:p>
    <w:p>
      <w:r>
        <w:rPr>
          <w:color w:val="555555"/>
          <w:sz w:val="18"/>
        </w:rPr>
        <w:t xml:space="preserve">Bundes-Immissionsschutzgesetz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zuständigen Behörden ergreifen die erforderlichen Maßnahmen, um die Einhaltung der durch eine Rechtsverordnung nach § 48a festgelegten Immissionswerte sicherzustellen. Hierzu gehören insbesondere Pläne nach § 47.</w:t>
      </w:r>
    </w:p>
    <w:p>
      <w:r>
        <w:t xml:space="preserve">(2) Die Maßnahmen nach Absatz 1</w:t>
      </w:r>
    </w:p>
    <w:p>
      <w:pPr>
        <w:ind w:left="420"/>
      </w:pPr>
      <w:r>
        <w:t xml:space="preserve">a) müssen einem integrierten Ansatz zum Schutz von Luft, Wasser und Boden Rechnung tragen;</w:t>
      </w:r>
    </w:p>
    <w:p>
      <w:pPr>
        <w:ind w:left="420"/>
      </w:pPr>
      <w:r>
        <w:t xml:space="preserve">b) dürfen nicht gegen die Vorschriften zum Schutz von Gesundheit und Sicherheit der Arbeitnehmer am Arbeitsplatz verstoßen;</w:t>
      </w:r>
    </w:p>
    <w:p>
      <w:pPr>
        <w:ind w:left="420"/>
      </w:pPr>
      <w:r>
        <w:t xml:space="preserve">c) dürfen keine erheblichen Beeinträchtigungen der Umwelt in anderen Mitgliedstaaten verursachen.</w:t>
      </w:r>
    </w:p>
    <w:p>
      <w:r>
        <w:rPr>
          <w:color w:val="555555"/>
          <w:sz w:val="17"/>
        </w:rPr>
        <w:t xml:space="preserve">Zitiervorschlag: § 45 BImSchG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