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BImSchG — Überwachung der Luftqualität</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Zur Überwachung der Luftqualität führen die zuständigen Behörden regelmäßige Untersuchungen nach den Anforderungen der Rechtsverordnungen nach § 48a Absatz 1 oder 1a durch.</w:t>
      </w:r>
    </w:p>
    <w:p>
      <w:r>
        <w:t xml:space="preserve">(2) Die Landesregierungen oder die von ihnen bestimmten Stellen werden ermächtigt, durch Rechtsverordnungen Untersuchungsgebiete festzulegen, in denen Art und Umfang bestimmter nicht von Absatz 1 erfasster Luftverunreinigungen in der Atmosphäre, die schädliche Umwelteinwirkungen hervorrufen können, in einem bestimmten Zeitraum oder fortlaufend festzustellen sowie die für die Entstehung der Luftverunreinigungen und ihrer Ausbreitung bedeutsamen Umstände zu untersuchen sind.</w:t>
      </w:r>
    </w:p>
    <w:p>
      <w:r>
        <w:rPr>
          <w:color w:val="555555"/>
          <w:sz w:val="17"/>
        </w:rPr>
        <w:t xml:space="preserve">Zitiervorschlag: § 44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