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BImSchG — Straßen und Schienenwege</w:t>
      </w:r>
    </w:p>
    <w:p>
      <w:r>
        <w:rPr>
          <w:color w:val="555555"/>
          <w:sz w:val="18"/>
        </w:rPr>
        <w:t xml:space="preserve">Bundes-Immissionsschutzgesetz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dem Bau oder der wesentlichen Änderung öffentlicher Straßen sowie von Eisenbahnen, Magnetschwebebahnen und Straßenbahnen ist unbeschadet des § 50 sicherzustellen, dass durch diese keine schädlichen Umwelteinwirkungen durch Verkehrsgeräusche hervorgerufen werden können, die nach dem Stand der Technik vermeidbar sind.</w:t>
      </w:r>
    </w:p>
    <w:p>
      <w:r>
        <w:t xml:space="preserve">(2) Absatz 1 gilt nicht, soweit die Kosten der Schutzmaßnahme außer Verhältnis zu dem angestrebten Schutzzweck stehen würden.</w:t>
      </w:r>
    </w:p>
    <w:p>
      <w:r>
        <w:rPr>
          <w:color w:val="555555"/>
          <w:sz w:val="17"/>
        </w:rPr>
        <w:t xml:space="preserve">Zitiervorschlag: § 41 BImSchG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https://recht.nulegal.eu/gesetze/BImSchG/41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