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38 BImSchG — Beschaffenheit und Betrieb von Fahrzeugen</w:t>
      </w:r>
    </w:p>
    <w:p>
      <w:r>
        <w:rPr>
          <w:color w:val="555555"/>
          <w:sz w:val="18"/>
        </w:rPr>
        <w:t xml:space="preserve">Bundes-Immissionsschutzgesetz</w:t>
      </w:r>
    </w:p>
    <w:p>
      <w:r>
        <w:rPr>
          <w:color w:val="555555"/>
          <w:sz w:val="18"/>
        </w:rPr>
        <w:t xml:space="preserve">Stand: 01.07.2020 (konsolidierte Textfassung, kein amtliches Inkrafttretensdatum)</w:t>
      </w:r>
    </w:p>
    <w:p>
      <w:r>
        <w:t xml:space="preserve">(1) Kraftfahrzeuge und ihre Anhänger, Schienen-, Luft- und Wasserfahrzeuge sowie Schwimmkörper und schwimmende Anlagen müssen so beschaffen sein, dass ihre durch die Teilnahme am Verkehr verursachten Emissionen bei bestimmungsgemäßem Betrieb die zum Schutz vor schädlichen Umwelteinwirkungen einzuhaltenden Grenzwerte nicht überschreiten. Sie müssen so betrieben werden, dass vermeidbare Emissionen verhindert und unvermeidbare Emissionen auf ein Mindestmaß beschränkt bleiben.</w:t>
      </w:r>
    </w:p>
    <w:p>
      <w:r>
        <w:t xml:space="preserve">(2) Das Bundesministerium für Verkehr und digitale Infrastruktur und das Bundesministerium für Umwelt, Naturschutz und nukleare Sicherheit bestimmen nach Anhörung der beteiligten Kreise (§ 51) durch Rechtsverordnung mit Zustimmung des Bundesrates die zum Schutz vor schädlichen Umwelteinwirkungen notwendigen Anforderungen an die Beschaffenheit, die Ausrüstung, den Betrieb und die Prüfung der in Absatz 1 Satz 1 genannten Fahrzeuge und Anlagen, auch soweit diese den verkehrsrechtlichen Vorschriften des Bundes unterliegen. Dabei können Emissionsgrenzwerte unter Berücksichtigung der technischen Entwicklung auch für einen Zeitpunkt nach Inkrafttreten der Rechtsverordnung festgesetzt werden.</w:t>
      </w:r>
    </w:p>
    <w:p>
      <w:r>
        <w:t xml:space="preserve">(3) Wegen der Anforderungen nach Absatz 2 gilt § 7 Absatz 5 entsprechend.</w:t>
      </w:r>
    </w:p>
    <w:p>
      <w:r>
        <w:rPr>
          <w:color w:val="555555"/>
          <w:sz w:val="17"/>
        </w:rPr>
        <w:t xml:space="preserve">Zitiervorschlag: § 38 BImSchG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https://recht.nulegal.eu/gesetze/BImSchG/38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