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37d BImSchG — Zuständige Stelle, Rechtsverordnungen</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Innerhalb der Bundesverwaltung werden eine oder mehrere Stellen errichtet, denen die Aufgaben übertragen werden, die Erfüllung der Verpflichtungen nach § 37a zu überwachen, die in den §§ 37c und 37i geregelten Aufgaben zu erfüllen und die Berichte nach § 37f zu überprüfen. Die Bundesregierung wird ermächtigt, die jeweils zuständige Stelle durch Rechtsverordnung ohne Zustimmung des Bundesrates zu bestimmen.</w:t>
      </w:r>
    </w:p>
    <w:p>
      <w:r>
        <w:t xml:space="preserve">(2) Die Bundesregierung wird ermächtigt, nach Anhörung der beteiligten Kreise (§ 51) durch Rechtsverordnung ohne Zustimmung des Bundesrates</w:t>
      </w:r>
    </w:p>
    <w:p>
      <w:pPr>
        <w:ind w:left="420"/>
      </w:pPr>
      <w:r>
        <w:t xml:space="preserve">1. unter Berücksichtigung der technischen Entwicklung</w:t>
      </w:r>
    </w:p>
    <w:p>
      <w:pPr>
        <w:ind w:left="780"/>
      </w:pPr>
      <w:r>
        <w:t xml:space="preserve">a) auch in Abweichung von § 37b Absatz 1 bis 6 Energieerzeugnisse als Biokraftstoffe zu bestimmen,</w:t>
      </w:r>
    </w:p>
    <w:p>
      <w:pPr>
        <w:ind w:left="780"/>
      </w:pPr>
      <w:r>
        <w:t xml:space="preserve">b) in Abweichung von § 37b Absatz 1 bis 6 festzulegen, dass bestimmte Energieerzeugnisse nicht oder nicht mehr in vollem Umfang als Biokraftstoffe gelten,</w:t>
      </w:r>
    </w:p>
    <w:p>
      <w:pPr>
        <w:ind w:left="780"/>
      </w:pPr>
      <w:r>
        <w:t xml:space="preserve">c) die Anrechenbarkeit von biogenen Einsatzstoffen aus Rohstoffen des Anhangs IX der Richtlinie (EU) 2018/2001 auf die Erfüllung von Verpflichtungen nach § 37a Absatz 1 in Verbindung mit § 37a Absatz 4 abweichend von § 37b Absatz 8 Satz 1 Nummer 5 zu regeln, wenn sie in einem raffinerietechnischen Verfahren gemeinsam mit mineralölstämmigen Ölen verarbeitet werden,</w:t>
      </w:r>
    </w:p>
    <w:p>
      <w:pPr>
        <w:ind w:left="780"/>
      </w:pPr>
      <w:r>
        <w:t xml:space="preserve">d) die Anrechenbarkeit von Biomethan auf die Erfüllung von Verpflichtungen nach § 37a Absatz 1 Satz 1 und 2 in Verbindung mit § 37a Absatz 4 zu konkretisieren,</w:t>
      </w:r>
    </w:p>
    <w:p>
      <w:pPr>
        <w:ind w:left="780"/>
      </w:pPr>
      <w:r>
        <w:t xml:space="preserve">e) die Anrechenbarkeit von Biomethan, das in das Erdgasnetz eingespeist wird, auf die Erfüllung von Verpflichtungen nach § 37a Absatz 1 Satz 1 und 2 in Verbindung mit § 37a Absatz 4 näher zu regeln,</w:t>
      </w:r>
    </w:p>
    <w:p>
      <w:pPr>
        <w:ind w:left="780"/>
      </w:pPr>
      <w:r>
        <w:t xml:space="preserve">f) zu bestimmen, wie im Falle der Einspeisung von Biomethan in das Erdgasnetz der Nachweis über die Treibhausgasemissionen zu führen ist, sowie</w:t>
      </w:r>
    </w:p>
    <w:p>
      <w:pPr>
        <w:ind w:left="780"/>
      </w:pPr>
      <w:r>
        <w:t xml:space="preserve">g) das Nachweisverfahren für die Anrechenbarkeit von Biomethan insgesamt näher zu regeln,</w:t>
      </w:r>
    </w:p>
    <w:p>
      <w:pPr>
        <w:ind w:left="420"/>
      </w:pPr>
      <w:r>
        <w:t xml:space="preserve">2. zu bestimmen, dass der Anteil an bestimmten Erfüllungsoptionen im Rahmen der Erfüllung von Verpflichtungen nach § 37a Absatz 1 Satz 1 und 2 in Verbindung mit § 37a Absatz 4 nach Maßgabe einer Multiplikation der tatsächlich in Verkehr gebrachten energetischen Menge der jeweiligen Erfüllungsoption mit einem bestimmten Rechenfaktor zu berechnen ist,</w:t>
      </w:r>
    </w:p>
    <w:p>
      <w:pPr>
        <w:ind w:left="420"/>
      </w:pPr>
      <w:r>
        <w:t xml:space="preserve">3. (weggefallen)</w:t>
      </w:r>
    </w:p>
    <w:p>
      <w:pPr>
        <w:ind w:left="420"/>
      </w:pPr>
      <w:r>
        <w:t xml:space="preserve">4. (weggefallen)</w:t>
      </w:r>
    </w:p>
    <w:p>
      <w:pPr>
        <w:ind w:left="420"/>
      </w:pPr>
      <w:r>
        <w:t xml:space="preserve">5. die Höhe der Abgabe nach § 37c Absatz 2 Satz 3, 4 oder Satz 6 zu ändern, um im Fall von Änderungen des Preisniveaus für Kraftstoffe eine vergleichbare wirtschaftliche Belastung aller Verpflichteten sicherzustellen,</w:t>
      </w:r>
    </w:p>
    <w:p>
      <w:pPr>
        <w:ind w:left="420"/>
      </w:pPr>
      <w:r>
        <w:t xml:space="preserve">6. den Basiswert im Sinne des § 37a Absatz 4 Satz 4 zu bestimmen,</w:t>
      </w:r>
    </w:p>
    <w:p>
      <w:pPr>
        <w:ind w:left="420"/>
      </w:pPr>
      <w:r>
        <w:t xml:space="preserve">7. die Anrechenbarkeit bestimmter Biokraftstoffe auf die Verpflichtungen nach § 37a Absatz 1 Satz 1 und 2 in Verbindung mit § 37a Absatz 4 zu begrenzen, sofern die Richtlinie (EU) 2018/2001 eine Begrenzung der Anrechenbarkeit dieser Biokraftstoffe auf das Ziel von Artikel 25 Absatz 1 der Richtlinie (EU) 2018/2001 vorsieht, sowie das Nachweisverfahren zu regeln,</w:t>
      </w:r>
    </w:p>
    <w:p>
      <w:pPr>
        <w:ind w:left="420"/>
      </w:pPr>
      <w:r>
        <w:t xml:space="preserve">8. einen Mindestanteil bestimmter Biokraftstoffe oder anderer erneuerbarer Kraftstoffe zur Erfüllung der Verpflichtungen nach § 37a Absatz 1 Satz 1 und 2 in Verbindung mit § 37a Absatz 4 festzulegen sowie das Nachweisverfahren zu regeln,</w:t>
      </w:r>
    </w:p>
    <w:p>
      <w:pPr>
        <w:ind w:left="420"/>
      </w:pPr>
      <w:r>
        <w:t xml:space="preserve">9. das Berechnungsverfahren für die Treibhausgasemissionen von fossilen Otto- und fossilen Dieselkraftstoffen im Sinne des § 37a Absatz 4 Satz 5 festzulegen und das Nachweisverfahren zu regeln,</w:t>
      </w:r>
    </w:p>
    <w:p>
      <w:pPr>
        <w:ind w:left="420"/>
      </w:pPr>
      <w:r>
        <w:t xml:space="preserve">10. das Berechnungsverfahren für die Treibhausgasemissionen von Biokraftstoffen abweichend von § 37a Absatz 4 Satz 6 festzulegen und das Nachweisverfahren zu regeln,</w:t>
      </w:r>
    </w:p>
    <w:p>
      <w:pPr>
        <w:ind w:left="420"/>
      </w:pPr>
      <w:r>
        <w:t xml:space="preserve">11. die Anrechenbarkeit von elektrischem Strom zur Verwendung in Straßenfahrzeugen gemäß § 37a Absatz 5 Satz 1 Nummer 4 zu regeln und dabei insbesondere</w:t>
      </w:r>
    </w:p>
    <w:p>
      <w:pPr>
        <w:ind w:left="780"/>
      </w:pPr>
      <w:r>
        <w:t xml:space="preserve">a) das Berechnungsverfahren für die Treibhausgasemissionen der eingesetzten Mengen elektrischen Stroms festzulegen und</w:t>
      </w:r>
    </w:p>
    <w:p>
      <w:pPr>
        <w:ind w:left="780"/>
      </w:pPr>
      <w:r>
        <w:t xml:space="preserve">b) das Nachweisverfahren zu regeln und</w:t>
      </w:r>
    </w:p>
    <w:p>
      <w:pPr>
        <w:ind w:left="780"/>
      </w:pPr>
      <w:r>
        <w:t xml:space="preserve">c) die erzeugten Treibhausgasminderungsmengen der energetischen Menge elektrischen Stroms, die nicht von Dritten der zuständigen Stelle mitgeteilt werden, zu versteigern und das erforderliche Verfahren zu regeln,</w:t>
      </w:r>
    </w:p>
    <w:p>
      <w:pPr>
        <w:ind w:left="420"/>
      </w:pPr>
      <w:r>
        <w:t xml:space="preserve">12. unter Berücksichtigung der technischen Entwicklung den Anwendungsbereich in § 37a Absatz 1 Satz 1 auf weitere Kraftstoffe auszudehnen und dabei insbesondere</w:t>
      </w:r>
    </w:p>
    <w:p>
      <w:pPr>
        <w:ind w:left="780"/>
      </w:pPr>
      <w:r>
        <w:t xml:space="preserve">a) das Berechnungsverfahren für die Treibhausgasemissionen dieser Kraftstoffe festzulegen und</w:t>
      </w:r>
    </w:p>
    <w:p>
      <w:pPr>
        <w:ind w:left="780"/>
      </w:pPr>
      <w:r>
        <w:t xml:space="preserve">b) das Nachweisverfahren zu regeln,</w:t>
      </w:r>
    </w:p>
    <w:p>
      <w:pPr>
        <w:ind w:left="420"/>
      </w:pPr>
      <w:r>
        <w:t xml:space="preserve">13. unter Berücksichtigung der technischen Entwicklung bestehende Erfüllungsoptionen im Einklang mit den Anforderungen der Richtlinie (EU) 2018/2001 zu konkretisieren und weitere Erfüllungsoptionen zu ergänzen und dabei insbesondere</w:t>
      </w:r>
    </w:p>
    <w:p>
      <w:pPr>
        <w:ind w:left="780"/>
      </w:pPr>
      <w:r>
        <w:t xml:space="preserve">a) das Berechnungsverfahren für die Treibhausgasemissionen dieser Maßnahmen festzulegen,</w:t>
      </w:r>
    </w:p>
    <w:p>
      <w:pPr>
        <w:ind w:left="780"/>
      </w:pPr>
      <w:r>
        <w:t xml:space="preserve">b) das Nachweisverfahren sowie die Übertragbarkeit der Nachweise zu regeln,</w:t>
      </w:r>
    </w:p>
    <w:p>
      <w:pPr>
        <w:ind w:left="780"/>
      </w:pPr>
      <w:r>
        <w:t xml:space="preserve">c) Methoden zur Einhaltung der Anforderungen der Richtlinie (EU) 2018/2001 für den Bezug des elektrischen Stroms zur Produktion von Kraftstoffen festzulegen und</w:t>
      </w:r>
    </w:p>
    <w:p>
      <w:pPr>
        <w:ind w:left="780"/>
      </w:pPr>
      <w:r>
        <w:t xml:space="preserve">d) Mindestwerte für die Treibhausgaseinsparung von Kraftstoffen festzulegen,</w:t>
      </w:r>
    </w:p>
    <w:p>
      <w:pPr>
        <w:ind w:left="420"/>
      </w:pPr>
      <w:r>
        <w:t xml:space="preserve">14. die Berichtspflicht nach § 37f Absatz 1 insbesondere zu Art, Form und Inhalt des Berichts näher auszugestalten sowie die zur Sicherstellung einer ordnungsgemäßen Berichterstattung erforderlichen Anordnungen der zuständigen Stelle zu regeln,</w:t>
      </w:r>
    </w:p>
    <w:p>
      <w:pPr>
        <w:ind w:left="420"/>
      </w:pPr>
      <w:r>
        <w:t xml:space="preserve">15. ein Nachweisverfahren festzulegen für die Voraussetzungen</w:t>
      </w:r>
    </w:p>
    <w:p>
      <w:pPr>
        <w:ind w:left="780"/>
      </w:pPr>
      <w:r>
        <w:t xml:space="preserve">a) nach § 37a Absatz 4 Satz 7 Nummer 5,</w:t>
      </w:r>
    </w:p>
    <w:p>
      <w:pPr>
        <w:ind w:left="780"/>
      </w:pPr>
      <w:r>
        <w:t xml:space="preserve">b) nach § 37b Absatz 1 bis 7, gegebenenfalls in Verbindung mit der Verordnung nach Nummer 1 Buchstabe a oder Buchstabe b,</w:t>
      </w:r>
    </w:p>
    <w:p>
      <w:pPr>
        <w:ind w:left="780"/>
      </w:pPr>
      <w:r>
        <w:t xml:space="preserve">c) nach § 37b Absatz 8 Satz 1,</w:t>
      </w:r>
    </w:p>
    <w:p>
      <w:pPr>
        <w:ind w:left="780"/>
      </w:pPr>
      <w:r>
        <w:t xml:space="preserve">d) der Verordnung nach Nummer 1 Buchstabe c und</w:t>
      </w:r>
    </w:p>
    <w:p>
      <w:pPr>
        <w:ind w:left="780"/>
      </w:pPr>
      <w:r>
        <w:t xml:space="preserve">e) der Verordnung nach der Nummer 2 und nach Absatz 2a</w:t>
      </w:r>
    </w:p>
    <w:p>
      <w:pPr>
        <w:ind w:left="420"/>
      </w:pPr>
      <w:r>
        <w:t xml:space="preserve">16. Ausnahmen von den Vorgaben nach § 37b Absatz 8 Satz 1 Nummer 3 festzulegen, sofern dies dem Sinn und Zweck der Regelung nicht entgegensteht,</w:t>
      </w:r>
    </w:p>
    <w:p>
      <w:pPr>
        <w:ind w:left="420"/>
      </w:pPr>
      <w:r>
        <w:t xml:space="preserve">17. von § 37c Absatz 1 und 3 bis 5 abweichende Verfahrensregelungen zu treffen,</w:t>
      </w:r>
    </w:p>
    <w:p>
      <w:pPr>
        <w:ind w:left="420"/>
      </w:pPr>
      <w:r>
        <w:t xml:space="preserve">18. Ausnahmen von der in § 37a Absatz 6 Satz 5 und Absatz 8 Satz 1 vorgesehenen Möglichkeit der Anrechnung von Übererfüllungen auf den Mindestanteil des Folgejahres festzulegen, sofern dies zur Einhaltung von Zielvorgaben aus bindenden Rechtsakten der Europäischen Gemeinschaften oder der Europäischen Union erforderlich ist,</w:t>
      </w:r>
    </w:p>
    <w:p>
      <w:pPr>
        <w:ind w:left="420"/>
      </w:pPr>
      <w:r>
        <w:t xml:space="preserve">19. unter Berücksichtigung der technischen Entwicklung Kriterien für die Anrechenbarkeit von Wasserstoff aus biogenen Quellen gemäß § 37b Absatz 8 Satz 3 festzulegen und dabei insbesondere</w:t>
      </w:r>
    </w:p>
    <w:p>
      <w:pPr>
        <w:ind w:left="780"/>
      </w:pPr>
      <w:r>
        <w:t xml:space="preserve">a) das Berechnungsverfahren für die Treibhausgasemissionen,</w:t>
      </w:r>
    </w:p>
    <w:p>
      <w:pPr>
        <w:ind w:left="780"/>
      </w:pPr>
      <w:r>
        <w:t xml:space="preserve">b) das Nachweisverfahren sowie die Übertragbarkeit der Nachweise und</w:t>
      </w:r>
    </w:p>
    <w:p>
      <w:pPr>
        <w:ind w:left="780"/>
      </w:pPr>
      <w:r>
        <w:t xml:space="preserve">c) die Anforderungen an die erneuerbaren Energiequellen zur Erzeugung des Wasserstoffs,</w:t>
      </w:r>
    </w:p>
    <w:p>
      <w:pPr>
        <w:ind w:left="420"/>
      </w:pPr>
      <w:r>
        <w:t xml:space="preserve">20. für den Ausschluss der Anrechnung von Biokraftstoffen und erneuerbaren Kraftstoffen nicht biogenen Ursprungs nach § 37b Absatz 8 Satz 1 Nummer 4</w:t>
      </w:r>
    </w:p>
    <w:p>
      <w:pPr>
        <w:ind w:left="780"/>
      </w:pPr>
      <w:r>
        <w:t xml:space="preserve">a) die Voraussetzungen für die Möglichkeit von Vor-Ort-Kontrollen festzulegen und</w:t>
      </w:r>
    </w:p>
    <w:p>
      <w:pPr>
        <w:ind w:left="780"/>
      </w:pPr>
      <w:r>
        <w:t xml:space="preserve">b) zu bestimmen, dass der Ausschluss auch für die Anrechnung auf einen Mindestanteil bestimmter Biokraftstoffe oder anderer erneuerbarer Kraftstoffe nach Nummer 8 gilt,</w:t>
      </w:r>
    </w:p>
    <w:p>
      <w:pPr>
        <w:ind w:left="420"/>
      </w:pPr>
      <w:r>
        <w:t xml:space="preserve">21. die Anrechenbarkeit bestimmter Biokraftstoffe aus tierischen Fetten auf die Verpflichtungen nach § 37a Absatz 1 Satz 1 und 2 in Verbindung mit § 37a Absatz 4 zu begrenzen sowie das Nachweisverfahren zu regeln,</w:t>
      </w:r>
    </w:p>
    <w:p>
      <w:pPr>
        <w:ind w:left="420"/>
      </w:pPr>
      <w:r>
        <w:t xml:space="preserve">22. zu bestimmen, dass abweichend von § 37a Absatz 5 und § 37b Absatz 8 erneuerbare Energieträger, die außerhalb des landgebundenen Verkehrs eingesetzt werden, nicht auf die Verpflichtung nach § 37a Absatz 1 in Verbindung mit § 37a Absatz 4 anrechenbar sind, sowie ein Nachweisverfahren hierfür festzulegen.</w:t>
      </w:r>
    </w:p>
    <w:p>
      <w:r>
        <w:t xml:space="preserve">In Rechtsverordnungen nach Satz 1 kann die Zuständigkeit zur Durchführung einer in einer Rechtsverordnung nach Absatz 1 Satz 2 bestimmten Stelle übertragen werden. Rechtsverordnungen nach Satz 1 Nummer 13 bedürfen der Zustimmung des Deutschen Bundestages, sofern Regelungen zu verpflichtenden Mindestanteilen an erneuerbaren Kraftstoffen nicht biogenen Ursprungs getroffen werden. Hat sich der Deutsche Bundestag nach Ablauf von vier Sitzungswochen seit Eingang der Rechtsverordnung nach Satz 3 nicht mit ihr befasst, gilt die Zustimmung zu der unveränderten Rechtsverordnung als erteilt.</w:t>
      </w:r>
    </w:p>
    <w:p>
      <w:r>
        <w:t xml:space="preserve">(2a) Das Bundesministerium für Umwelt, Klimaschutz, Naturschutz und nukleare Sicherheit wird ermächtigt, im Einvernehmen mit dem Bundesministerium für Wirtschaft und Energie und dem Bundesministerium für Landwirtschaft, Ernährung und Heimat durch Rechtsverordnung nach Anhörung der beteiligten Kreise (§ 51) ohne Zustimmung des Bundesrates</w:t>
      </w:r>
    </w:p>
    <w:p>
      <w:pPr>
        <w:ind w:left="420"/>
      </w:pPr>
      <w:r>
        <w:t xml:space="preserve">1. vorzuschreiben, dass Biokraftstoffe nur dann auf die Erfüllung von Verpflichtungen nach § 37a Absatz 1 Satz 1 und 2 in Verbindung mit § 37a Absatz 4 angerechnet werden, wenn bei der Erzeugung der eingesetzten Biomasse bestimmte ökologische und soziale Anforderungen an eine nachhaltige Produktion der Biomasse sowie zum Schutz natürlicher Lebensräume erfüllt werden und wenn der Biokraftstoff eine bestimmte Treibhausgasminderung aufweist,</w:t>
      </w:r>
    </w:p>
    <w:p>
      <w:pPr>
        <w:ind w:left="420"/>
      </w:pPr>
      <w:r>
        <w:t xml:space="preserve">2. die Anforderungen im Sinne der Nummer 1 festzulegen.</w:t>
      </w:r>
    </w:p>
    <w:p>
      <w:r>
        <w:t xml:space="preserve">(3) Die Bundesregierung wird ermächtigt, durch Rechtsverordnung ohne Zustimmung des Bundesrates nähere Bestimmungen zur Durchführung der §§ 37a bis 37c sowie der auf Absatz 2 beruhenden Rechtsverordnungen zu erlassen und darin insbesondere</w:t>
      </w:r>
    </w:p>
    <w:p>
      <w:pPr>
        <w:ind w:left="420"/>
      </w:pPr>
      <w:r>
        <w:t xml:space="preserve">1. das Verfahren zur Sicherung und Überwachung der Erfüllung der Quotenverpflichtung in den Fällen des § 37a Absatz 6 und 7 und hinsichtlich der für die Ermittlung der Mindestanteile an Biokraftstoff oder der Treibhausgasminderung benötigten Daten näher zu regeln,</w:t>
      </w:r>
    </w:p>
    <w:p>
      <w:pPr>
        <w:ind w:left="420"/>
      </w:pPr>
      <w:r>
        <w:t xml:space="preserve">2. zur Sicherung und Überwachung der Erfüllung der Quotenverpflichtung abweichende Bestimmungen zu § 37a Absatz 4 Satz 9 und 10 sowie zu § 37a Absatz 6 und 7 zu erlassen,</w:t>
      </w:r>
    </w:p>
    <w:p>
      <w:pPr>
        <w:ind w:left="420"/>
      </w:pPr>
      <w:r>
        <w:t xml:space="preserve">3. die erforderlichen Nachweise und die Überwachung der Einhaltung der Anforderungen an Biokraftstoffe, erneuerbare Kraftstoffe nicht biogenen Ursprungs und an weitere Erfüllungsoptionen sowie die hierfür erforderlichen Probenahmen näher zu regeln,</w:t>
      </w:r>
    </w:p>
    <w:p>
      <w:pPr>
        <w:ind w:left="420"/>
      </w:pPr>
      <w:r>
        <w:t xml:space="preserve">4. zu bestimmen, dass das Entstehen von Verpflichtungen nach § 37a Absatz 1 Satz 1 und 2 in Verbindung mit § 37a Absatz 4 an das Inverkehrbringen einer bestimmten Mindestmenge an Kraftstoff geknüpft wird.</w:t>
      </w:r>
    </w:p>
    <w:p>
      <w:r>
        <w:rPr>
          <w:color w:val="555555"/>
          <w:sz w:val="17"/>
        </w:rPr>
        <w:t xml:space="preserve">Zitiervorschlag: § 37d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