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BImSchG — Pflichten für Inverkehrbringer von Kraftstoffen</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Wer gewerbsmäßig oder im Rahmen wirtschaftlicher Unternehmungen nach § 2 Absatz 1 Nummer 1 und 4 des Energiesteuergesetzes zu versteuernde Otto- oder Dieselkraftstoffe in Verkehr bringt, hat sicherzustellen, dass für die gesamte im Lauf eines Kalenderjahres (Verpflichtungsjahr) von ihm in Verkehr gebrachte Menge Kraftstoffs die Vorgaben des Absatzes 4 eingehalten werden. Kraftstoff gilt mit dem Entstehen der Energiesteuer nach § 8 Absatz 1, § 9 Absatz 1, § 9a Absatz 4, § 18b Absatz 1 Nummer 1, 2 oder 5, auch jeweils in Verbindung mit § 18b Absatz 2, §§ 19b Absatz 1, § 22 Absatz 1 oder § 23 Absatz 1 oder Absatz 2, § 38 Absatz 1, § 42 Absatz 1 oder § 43 Absatz 1 des Energiesteuergesetzes als in Verkehr gebracht. Die Abgabe von fossilem Otto- und fossilem Dieselkraftstoff an die Bundeswehr zu Zwecken der Verteidigung oder der Erfüllung zwischenstaatlicher Verpflichtungen, die Polizeien der Länder, die Bundespolizei, den Zolldienst, die Bundesanstalt Technisches Hilfswerk, das Bundeskriminalamt, die Feuerwehren und die Einheiten und Einrichtungen des Zivil- und Katastrophenschutzes gilt nicht als Inverkehrbringen im Sinne der Sätze 1 und 2. Dies gilt auch für den Erwerb von fossilem Otto- und fossilem Dieselkraftstoff durch die Bundeswehr zu einem in Satz 3 genannten Zweck. Der Bundeswehr gleichgestellt sind auf Grund völkerrechtlicher Verträge in der Bundesrepublik Deutschland befindliche Truppen sowie Einrichtungen, die die Bundeswehr oder diese Truppen zur Erfüllung ihrer jeweiligen Aufgaben einsetzt oder einsetzen. Die Abgabe von Kraftstoff im Eigentum des Erdölbevorratungsverbandes auf Grund einer Freigabe nach § 12 Absatz 1 des Erdölbevorratungsgesetzes durch den Erdölbevorratungsverband, Mitglieder des Erdölbevorratungsverbandes oder Dritte sowie nachfolgende Abgaben gelten nicht als Inverkehrbringen im Sinne der Sätze 1 und 2. Dies gilt auch für die Abgabe von Kraftstoff in den in Satz 6 genannten Fällen im Rahmen von Delegationen nach § 7 Absatz 1 des Erdölbevorratungsgesetzes durch Mitglieder des Erdölbevorratungsverbandes oder Dritte sowie für nachfolgende Abgaben. Die Abgabe von Ausgleichsmengen an unterversorgte Unternehmen zum Versorgungsausgleich im Sinne von § 1 Absatz 1 der Mineralölausgleichs-Verordnung vom 13. Dezember 1985 (BGBl. I S. 2267), die zuletzt durch Artikel 5 Absatz 3 des Gesetzes vom 26. Juni 2013 (BGBl. I S. 1738) geändert worden ist, in der jeweils geltenden Fassung gilt nicht als Inverkehrbringen im Sinne der Sätze 1 und 2. Ein Inverkehrbringen im Sinne der Sätze 1 und 2 liegt ebenfalls nicht vor, wenn der Erdölbevorratungsverband Kraftstoff aus seinem Eigentum abgibt und dieser Abgabe keine Rücklieferung am Abgabeort gegenüber steht oder er dafür Mineralölprodukte erwirbt, die nicht unter die Vorschrift des Satzes 1 fallen. Satz 9 gilt auch für die nachfolgenden Abgaben des Kraftstoffs.</w:t>
      </w:r>
    </w:p>
    <w:p>
      <w:r>
        <w:t xml:space="preserve">(2) (weggefallen)</w:t>
      </w:r>
    </w:p>
    <w:p>
      <w:r>
        <w:t xml:space="preserve">(3) Verpflichteter nach Absatz 1 Satz 1 und 2 ist der jeweilige Steuerschuldner im Sinne des Energiesteuergesetzes. Abweichend von Satz 1 ist in den Fällen des § 7 Absatz 4 Satz 1 des Energiesteuergesetzes der Dritte (Einlagerer) Verpflichteter. In den Fällen des § 22 Absatz 1 des Energiesteuergesetzes gilt allein derjenige als Verpflichteter im Sinne von Satz 1, der eine der dort jeweils genannten Handlungen zuerst vornimmt.</w:t>
      </w:r>
    </w:p>
    <w:p>
      <w:r>
        <w:t xml:space="preserve">(4) Verpflichtete nach Absatz 1 haben sicherzustellen, dass die Treibhausgasemissionen der von ihnen in Verkehr gebrachten fossilen Otto- und fossilen Dieselkraftstoffe zuzüglich der Treibhausgasemissionen der von ihnen eingesetzten Erfüllungsoptionen um einen festgelegten Prozentsatz gegenüber dem Referenzwert nach Satz 3 gemindert werden. Die Höhe des in Satz 1 genannten Prozentsatzes beträgt</w:t>
      </w:r>
    </w:p>
    <w:p>
      <w:pPr>
        <w:ind w:left="420"/>
      </w:pPr>
      <w:r>
        <w:t xml:space="preserve">1. ab dem Kalenderjahr 2020 6 Prozent,</w:t>
      </w:r>
    </w:p>
    <w:p>
      <w:pPr>
        <w:ind w:left="420"/>
      </w:pPr>
      <w:r>
        <w:t xml:space="preserve">2. ab dem Kalenderjahr 2022 7 Prozent,</w:t>
      </w:r>
    </w:p>
    <w:p>
      <w:pPr>
        <w:ind w:left="420"/>
      </w:pPr>
      <w:r>
        <w:t xml:space="preserve">3. ab dem Kalenderjahr 2023 8 Prozent,</w:t>
      </w:r>
    </w:p>
    <w:p>
      <w:pPr>
        <w:ind w:left="420"/>
      </w:pPr>
      <w:r>
        <w:t xml:space="preserve">4. ab dem Kalenderjahr 2024 9,35 Prozent,</w:t>
      </w:r>
    </w:p>
    <w:p>
      <w:pPr>
        <w:ind w:left="420"/>
      </w:pPr>
      <w:r>
        <w:t xml:space="preserve">5. ab dem Kalenderjahr 2025 10,6 Prozent,</w:t>
      </w:r>
    </w:p>
    <w:p>
      <w:pPr>
        <w:ind w:left="420"/>
      </w:pPr>
      <w:r>
        <w:t xml:space="preserve">6. ab dem Kalenderjahr 2026 12 Prozent,</w:t>
      </w:r>
    </w:p>
    <w:p>
      <w:pPr>
        <w:ind w:left="420"/>
      </w:pPr>
      <w:r>
        <w:t xml:space="preserve">7. ab dem Kalenderjahr 2027 17,5 Prozent,</w:t>
      </w:r>
    </w:p>
    <w:p>
      <w:pPr>
        <w:ind w:left="420"/>
      </w:pPr>
      <w:r>
        <w:t xml:space="preserve">8. ab dem Kalenderjahr 2028 19,5 Prozent,</w:t>
      </w:r>
    </w:p>
    <w:p>
      <w:pPr>
        <w:ind w:left="420"/>
      </w:pPr>
      <w:r>
        <w:t xml:space="preserve">9. ab dem Kalenderjahr 2029 22,5 Prozent,</w:t>
      </w:r>
    </w:p>
    <w:p>
      <w:pPr>
        <w:ind w:left="420"/>
      </w:pPr>
      <w:r>
        <w:t xml:space="preserve">10. ab dem Kalenderjahr 2030 26,5 Prozent,</w:t>
      </w:r>
    </w:p>
    <w:p>
      <w:pPr>
        <w:ind w:left="420"/>
      </w:pPr>
      <w:r>
        <w:t xml:space="preserve">11. ab dem Kalenderjahr 2031 30 Prozent,</w:t>
      </w:r>
    </w:p>
    <w:p>
      <w:pPr>
        <w:ind w:left="420"/>
      </w:pPr>
      <w:r>
        <w:t xml:space="preserve">12. ab dem Kalenderjahr 2032 33 Prozent,</w:t>
      </w:r>
    </w:p>
    <w:p>
      <w:pPr>
        <w:ind w:left="420"/>
      </w:pPr>
      <w:r>
        <w:t xml:space="preserve">13. ab dem Kalenderjahr 2033 36 Prozent,</w:t>
      </w:r>
    </w:p>
    <w:p>
      <w:pPr>
        <w:ind w:left="420"/>
      </w:pPr>
      <w:r>
        <w:t xml:space="preserve">14. ab dem Kalenderjahr 2034 38 Prozent,</w:t>
      </w:r>
    </w:p>
    <w:p>
      <w:pPr>
        <w:ind w:left="420"/>
      </w:pPr>
      <w:r>
        <w:t xml:space="preserve">15. ab dem Kalenderjahr 2035 41 Prozent,</w:t>
      </w:r>
    </w:p>
    <w:p>
      <w:pPr>
        <w:ind w:left="420"/>
      </w:pPr>
      <w:r>
        <w:t xml:space="preserve">16. ab dem Kalenderjahr 2036 46 Prozent,</w:t>
      </w:r>
    </w:p>
    <w:p>
      <w:pPr>
        <w:ind w:left="420"/>
      </w:pPr>
      <w:r>
        <w:t xml:space="preserve">17. ab dem Kalenderjahr 2037 51 Prozent,</w:t>
      </w:r>
    </w:p>
    <w:p>
      <w:pPr>
        <w:ind w:left="420"/>
      </w:pPr>
      <w:r>
        <w:t xml:space="preserve">18. ab dem Kalenderjahr 2038 56 Prozent,</w:t>
      </w:r>
    </w:p>
    <w:p>
      <w:pPr>
        <w:ind w:left="420"/>
      </w:pPr>
      <w:r>
        <w:t xml:space="preserve">19. ab dem Kalenderjahr 2039 61 Prozent,</w:t>
      </w:r>
    </w:p>
    <w:p>
      <w:pPr>
        <w:ind w:left="420"/>
      </w:pPr>
      <w:r>
        <w:t xml:space="preserve">20. ab dem Kalenderjahr 2040 65 Prozent.</w:t>
      </w:r>
    </w:p>
    <w:p>
      <w:r>
        <w:t xml:space="preserve">Der Referenzwert, gegenüber dem die Treibhausgasminderung zu erfolgen hat, berechnet sich durch Multiplikation des Basiswertes mit der vom Verpflichteten in Verkehr gebrachten energetischen Menge an fossilen Otto- und fossilen Dieselkraftstoffen zuzüglich der energetischen Menge an eingesetzten Erfüllungsoptionen. Der Basiswert wird festgelegt durch eine Verordnung nach § 37d Absatz 2 Satz 1 Nummer 6. Die Treibhausgasemissionen von fossilen Otto- und fossilen Dieselkraftstoffen berechnen sich durch Multiplikation der Werte, die durch eine Verordnung nach § 37d Absatz 2 Satz 1 Nummer 9 festgelegt werden, mit der vom Verpflichteten in Verkehr gebrachten energetischen Menge fossilen Otto- und fossilen Dieselkraftstoffs. Die Treibhausgasemissionen von Biokraftstoffen berechnen sich durch Multiplikation der in den anerkannten Nachweisen nach § 8 der Biokraftstoff-Nachhaltigkeitsverordnung vom 2. Dezember 2021 (BGBl. I S. 5126, 5143), in der jeweils geltenden Fassung ausgewiesenen Treibhausgasemissionen in Kilogramm Kohlenstoffdioxid-Äquivalent pro Gigajoule mit der vom Verpflichteten in Verkehr gebrachten energetischen Menge Biokraftstoffs. Biokraftstoffe werden wie fossile Otto- oder fossile Dieselkraftstoffe behandelt, sofern</w:t>
      </w:r>
    </w:p>
    <w:p>
      <w:pPr>
        <w:ind w:left="420"/>
      </w:pPr>
      <w:r>
        <w:t xml:space="preserve">1. für die Biokraftstoffe anerkannte Nachweise nach § 8 der Biokraftstoff-Nachhaltigkeitsverordnung nicht vorgelegt werden,</w:t>
      </w:r>
    </w:p>
    <w:p>
      <w:pPr>
        <w:ind w:left="420"/>
      </w:pPr>
      <w:r>
        <w:t xml:space="preserve">2. für die Biokraftstoffe anerkannte Nachweise nach § 8 der Biokraftstoff-Nachhaltigkeitsverordnung vorgelegt werden, die keine Treibhausgasemissionen ausweisen,</w:t>
      </w:r>
    </w:p>
    <w:p>
      <w:pPr>
        <w:ind w:left="420"/>
      </w:pPr>
      <w:r>
        <w:t xml:space="preserve">3. für die Biokraftstoffe anerkannte Nachweise nach § 8 der Biokraftstoff-Nachhaltigkeitsverordnung vorgelegt werden, die unwirksam im Sinne der Biokraftstoff-Nachhaltigkeitsverordnung sind und nicht anerkannt werden dürfen,</w:t>
      </w:r>
    </w:p>
    <w:p>
      <w:pPr>
        <w:ind w:left="420"/>
      </w:pPr>
      <w:r>
        <w:t xml:space="preserve">4. die Biokraftstoffe nach § 37b Absatz 8 Satz 1 von der Anrechenbarkeit ausgeschlossen sind oder</w:t>
      </w:r>
    </w:p>
    <w:p>
      <w:pPr>
        <w:ind w:left="420"/>
      </w:pPr>
      <w:r>
        <w:t xml:space="preserve">5. die Europäische Kommission nach Artikel 30 Absatz 10 der Richtlinie (EU) 2018/2001 des Europäischen Parlaments und des Rates vom 11. Dezember 2018 zur Förderung der Nutzung von Energie aus erneuerbaren Quellen (ABl. L 328 vom 21.12.2018, S. 82; L 311 vom 25.9.2020, S. 11) in der jeweils geltenden Fassung oder nach Artikel 7c Absatz 8 der Richtlinie 98/70/EG des Europäischen Parlaments und des Rates vom 13. Oktober 1998 über die Qualität von Otto- und Dieselkraftstoffen und zur Änderung der Richtlinie 93/12/EWG des Rates (ABl. L 350 vom 28.12.1998, S. 58), die zuletzt durch die Verordnung (EU) 2018/1999 (ABl. L 328 vom 21.12.2018, S. 1) geändert worden ist, in der jeweils geltenden Fassung entschieden hat, dass die Bundesrepublik Deutschland den Biokraftstoff für die in Artikel 25 Absatz 1 Unterabsatz 1 und 4 der Richtlinie (EU) 2018/2001 oder für die in Artikel 7a der Richtlinie 98/70/EG genannten Zwecke nicht berücksichtigen darf.</w:t>
      </w:r>
    </w:p>
    <w:p>
      <w:r>
        <w:t xml:space="preserve">Satz 7 erster Halbsatz gilt entsprechend für die in § 37b Absatz 2 bis 6 genannten Energieerzeugnisse, wenn diese keine Biokraftstoffe im Sinne dieses Gesetzes sind. Bei der Berechnung des Referenzwertes nach den Sätzen 3 und 4 sowie der Treibhausgasemissionen nach den Sätzen 5 und 6 sind Kraftstoffmengen, für die dem Verpflichteten eine Steuerentlastung nach § 8 Absatz 7, nach § 46 Absatz 1 Satz 1 Nummer 1 oder Nummer 3 oder nach § 47 Absatz 1 Nummer 1, 2 oder Nummer 6 des Energiesteuergesetzes gewährt wurde oder wird, nicht zu berücksichtigen. In den Fällen des Absatzes 5 Satz 1 Nummer 2 und 3 gilt Satz 9 unabhängig von der Person des Entlastungsberechtigten.</w:t>
      </w:r>
    </w:p>
    <w:p>
      <w:r>
        <w:t xml:space="preserve">(5) Die Verpflichtungen nach Absatz 1 Satz 1 und 2 in Verbindung mit dem Absatz 4 können von Verpflichteten erfüllt werden durch folgende Optionen (Erfüllungsoptionen):</w:t>
      </w:r>
    </w:p>
    <w:p>
      <w:pPr>
        <w:ind w:left="420"/>
      </w:pPr>
      <w:r>
        <w:t xml:space="preserve">1. Inverkehrbringen von Biokraftstoff, der fossilem Otto- oder fossilem Dieselkraftstoff, welcher nach § 2 Absatz 1 Nummer 1 und 4 des Energiesteuergesetzes zu versteuern ist, beigemischt wurde,</w:t>
      </w:r>
    </w:p>
    <w:p>
      <w:pPr>
        <w:ind w:left="420"/>
      </w:pPr>
      <w:r>
        <w:t xml:space="preserve">2. Inverkehrbringen von reinem Biokraftstoff, der nach § 2 Absatz 1 Nummer 1 und 4 des Energiesteuergesetzes zu versteuern ist,</w:t>
      </w:r>
    </w:p>
    <w:p>
      <w:pPr>
        <w:ind w:left="420"/>
      </w:pPr>
      <w:r>
        <w:t xml:space="preserve">3. Inverkehrbringen von</w:t>
      </w:r>
    </w:p>
    <w:p>
      <w:pPr>
        <w:ind w:left="780"/>
      </w:pPr>
      <w:r>
        <w:t xml:space="preserve">a) Biokraftstoff nach § 37b Absatz 6, der fossilem Erdgaskraftstoff, welcher nach § 2 Absatz 1 Nummer 7 oder Absatz 2 Nummer 1 des Energiesteuergesetzes zu versteuern ist, zugemischt wurde, und</w:t>
      </w:r>
    </w:p>
    <w:p>
      <w:pPr>
        <w:ind w:left="780"/>
      </w:pPr>
      <w:r>
        <w:t xml:space="preserve">b) reinem Biokraftstoff nach § 37b Absatz 6, der nach § 2 Absatz 1 Nummer 7 oder Absatz 2 Nummer 1 des Energiesteuergesetzes zu versteuern ist,</w:t>
      </w:r>
    </w:p>
    <w:p>
      <w:pPr>
        <w:ind w:left="420"/>
      </w:pPr>
      <w:r>
        <w:t xml:space="preserve">4. elektrischen Strom zur Verwendung in Straßenfahrzeugen, soweit eine Rechtsverordnung der Bundesregierung nach § 37d Absatz 2 Satz 1 Nummer 11 dies zulässt und gegenüber der zuständigen Stelle nachgewiesen wird, dass der Strom ordnungsgemäß gemessen und überwacht wurde,</w:t>
      </w:r>
    </w:p>
    <w:p>
      <w:pPr>
        <w:ind w:left="420"/>
      </w:pPr>
      <w:r>
        <w:t xml:space="preserve">5. bis zum Verpflichtungsjahr 2026 Upstream-Emissionsminderungen, soweit eine Rechtsverordnung der Bundesregierung nach § 37d Absatz 2 Satz 1 Nummer 13 dies zulässt,</w:t>
      </w:r>
    </w:p>
    <w:p>
      <w:pPr>
        <w:ind w:left="420"/>
      </w:pPr>
      <w:r>
        <w:t xml:space="preserve">6. flüssige oder gasförmige erneuerbare Kraftstoffe nicht biogenen Ursprungs, auch wenn sie in einem raffinerietechnischen Verfahren gemeinsam mit mineralölstämmigen oder biogenen Ölen hergestellt werden, soweit eine Rechtsverordnung der Bundesregierung nach § 37d Absatz 2 Satz 1 Nummer 13 dies zulässt,</w:t>
      </w:r>
    </w:p>
    <w:p>
      <w:pPr>
        <w:ind w:left="420"/>
      </w:pPr>
      <w:r>
        <w:t xml:space="preserve">7. flüssige oder gasförmige erneuerbare Kraftstoffe nicht biogenen Ursprungs, wenn sie als Zwischenprodukt zur Produktion konventioneller Kraftstoffe oder Biokraftstoffe verwendet werden, soweit eine Rechtsverordnung der Bundesregierung nach § 37d Absatz 2 Satz 1 Nummer 13 dies zulässt, und vorausgesetzt, dass die durch die Nutzung erneuerbarer Kraftstoffe nicht biogenen Ursprungs erzielte Verringerung der Treibhausgasemissionen nicht bei der Berechnung der Treibhausgasemissionseinsparungen der Biokraftstoffe berücksichtigt wird,</w:t>
      </w:r>
    </w:p>
    <w:p>
      <w:pPr>
        <w:ind w:left="420"/>
      </w:pPr>
      <w:r>
        <w:t xml:space="preserve">8. ab dem Verpflichtungsjahr 2031 mittels Elektrolyse erzeugter, kohlenstoffarmer Wasserstoff, wenn er als Zwischenprodukt zur Produktion konventioneller Kraftstoffe verwendet wird, soweit eine Rechtsverordnung der Bundesregierung nach § 37d Absatz 2 Satz 1 Nummer 13 dies zulässt,</w:t>
      </w:r>
    </w:p>
    <w:p>
      <w:pPr>
        <w:ind w:left="420"/>
      </w:pPr>
      <w:r>
        <w:t xml:space="preserve">9. ab dem Verpflichtungsjahr 2027 wiederverwertete kohlenstoffhaltige Kraftstoffe, soweit eine Rechtsverordnung der Bundesregierung nach § 37d Absatz 2 Satz 1 Nummer 13 dies zulässt,</w:t>
      </w:r>
    </w:p>
    <w:p>
      <w:pPr>
        <w:ind w:left="420"/>
      </w:pPr>
      <w:r>
        <w:t xml:space="preserve">10. andere Kraftstoffe, soweit eine Rechtsverordnung der Bundesregierung nach § 37d Absatz 2 Satz 1 Nummer 13 dies zulässt.</w:t>
      </w:r>
    </w:p>
    <w:p>
      <w:r>
        <w:t xml:space="preserve">(6) Die Erfüllung von Verpflichtungen nach Absatz 1 Satz 1 und 2 in Verbindung mit Absatz 4 kann durch Vertrag, der der Schriftform bedarf, auf einen Dritten, der nicht selbst Verpflichteter ist, übertragen werden. Der Vertrag muss mengenmäßige Angaben zum Umfang der vom Dritten gegenüber dem Verpflichteten eingegangenen Verpflichtung enthalten sowie Angaben, für welche Erfüllungsoptionen die Übertragung gilt. Außerdem muss der Vertrag Angaben zu den Treibhausgasemissionen der Kraftstoffe in Kilogramm Kohlenstoffdioxid-Äquivalent enthalten. Der Dritte kann den Vertrag ausschließlich durch Erfüllungsoptionen erfüllen, die er im Verpflichtungsjahr einsetzt oder eingesetzt hat. Abweichend von Satz 4 kann der Dritte Verträge nach Satz 3 auch durch Erfüllungsoptionen erfüllen, die er bereits im Vorjahr des Verpflichtungsjahres in Verkehr gebracht hat, wenn die Erfüllungsoptionen nicht bereits Gegenstand eines Vertrages nach Satz 1 waren und der Dritte im Vorjahr des Verpflichtungsjahres nicht selbst Verpflichteter gewesen ist. Absatz 1 Satz 2 und Absatz 5 Satz 1 und 2 gelten entsprechend. Bei Vorliegen der Voraussetzungen nach den Sätzen 1 bis 6 ist der Verpflichtete so zu behandeln, als hätte er die vom Dritten eingesetzten Erfüllungsoptionen im Verpflichtungsjahr selbst in Verkehr gebracht. Absatz 4 Satz 3 bis 10 gelten entsprechend. Die vom Dritten zur Erfüllung einer nach Satz 1 übertragenen Verpflichtung eingesetzten Erfüllungsoptionen können nicht zur Erfüllung der Verpflichtung eines weiteren Verpflichteten eingesetzt werden.</w:t>
      </w:r>
    </w:p>
    <w:p>
      <w:r>
        <w:t xml:space="preserve">(7) Die Erfüllung von Verpflichtungen nach Absatz 1 Satz 1 und 2 in Verbindung mit Absatz 4 kann durch Vertrag, der der Schriftform bedarf, auf einen Dritten, der selbst Verpflichteter ist, übertragen werden. Absatz 6 Satz 2 gilt entsprechend. Der Vertrag zur Erfüllung von Verpflichtungen nach Absatz 1 Satz 1 und 2 in Verbindung mit Absatz 4 muss Angaben zum Umfang der vom Dritten im Verpflichtungsjahr sicherzustellenden Treibhausgasminderungsmenge in Kilogramm Kohlenstoffdioxid-Äquivalent enthalten. Der Dritte kann Verträge ausschließlich durch Erfüllungsoptionen erfüllen, die er im Verpflichtungsjahr einsetzt oder eingesetzt hat. Absatz 1 Satz 2 und Absatz 5 Satz 1 und 2 gelten entsprechend. Bei Vorliegen der Voraussetzungen nach den Sätzen 1 bis 4 wird zugunsten des Verpflichteten die vom Dritten erreichte Treibhausgasminderungsmenge ausschließlich bei der Berechnung der Treibhausgasemissionen nach Absatz 4 Satz 5 und 6 berücksichtigt. Im Fall des Satzes 6 Nummer 1 berechnet sich die Treibhausgasminderungsmenge in entsprechender Anwendung des Absatzes 4 Satz 3 bis 10. Die vom Dritten zur Erfüllung einer nach Satz 1 übertragenen Verpflichtung eingesetzten Treibhausgasminderungs- und Kraftstoffmengen können nicht zur Erfüllung der eigenen Verpflichtung des Dritten oder der Verpflichtung eines weiteren Verpflichteten eingesetzt werden.</w:t>
      </w:r>
    </w:p>
    <w:p>
      <w:r>
        <w:t xml:space="preserve">(8) Treibhausgasminderungsmengen, die den nach Absatz 4 Satz 2 vorgeschriebenen Prozentsatz für ein bestimmtes Verpflichtungsjahr übersteigen, werden auf Antrag des Verpflichteten auf den Prozentsatz des folgenden Kalenderjahres angerechnet.</w:t>
      </w:r>
    </w:p>
    <w:p>
      <w:r>
        <w:rPr>
          <w:color w:val="555555"/>
          <w:sz w:val="17"/>
        </w:rPr>
        <w:t xml:space="preserve">Zitiervorschlag: § 37a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