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37 BImSchG — Erfüllung von zwischenstaatlichen Vereinbarungen und Rechtsakten der Europäischen Gemeinschaften oder der Europäischen Union; Verordnungsermächtigung</w:t>
      </w:r>
    </w:p>
    <w:p>
      <w:r>
        <w:rPr>
          <w:color w:val="555555"/>
          <w:sz w:val="18"/>
        </w:rPr>
        <w:t xml:space="preserve">Bundes-Immissionsschutzgesetz</w:t>
      </w:r>
    </w:p>
    <w:p>
      <w:r>
        <w:rPr>
          <w:color w:val="555555"/>
          <w:sz w:val="18"/>
        </w:rPr>
        <w:t xml:space="preserve">Stand: 09.06.2026 (konsolidierte Textfassung, kein amtliches Inkrafttretensdatum)</w:t>
      </w:r>
    </w:p>
    <w:p>
      <w:r>
        <w:t xml:space="preserve">Zur Erfüllung von Verpflichtungen aus zwischenstaatlichen Vereinbarungen oder von bindenden Rechtsakten der Europäischen Gemeinschaften oder der Europäischen Union kann die Bundesregierung zu dem in § 1 genannten Zweck durch Rechtsverordnung mit Zustimmung des Bundesrates bestimmen, dass Anlagen, Stoffe, Erzeugnisse, Brennstoffe oder Treibstoffe gewerbsmäßig oder im Rahmen wirtschaftlicher Unternehmungen nur in den Verkehr gebracht werden dürfen, wenn sie nach Maßgabe der §§ 32 bis 35 bestimmte Anforderungen erfüllen. In einer Rechtsverordnung nach Satz 1, die der Erfüllung bindender Rechtsakte der Europäischen Gemeinschaften oder der Europäischen Union über Maßnahmen zur Bekämpfung der Emission von gasförmigen Schadstoffen und luftverunreinigenden Partikeln aus Verbrennungsmotoren für mobile Maschinen und Geräte dient, kann das Kraftfahrt-Bundesamt als Genehmigungsbehörde bestimmt und insoweit der Fachaufsicht des Bundesministeriums für Umwelt, Naturschutz und nukleare Sicherheit unterstellt werden.</w:t>
      </w:r>
    </w:p>
    <w:p>
      <w:r>
        <w:rPr>
          <w:color w:val="555555"/>
          <w:sz w:val="17"/>
        </w:rPr>
        <w:t xml:space="preserve">Zitiervorschlag: § 37 BImSchG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https://recht.nulegal.eu/gesetze/BImSchG/37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