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BImSchG — Beschaffenheit von Stoffen und Erzeugnissen; Verordnungsermächtigung</w:t>
      </w:r>
    </w:p>
    <w:p>
      <w:r>
        <w:rPr>
          <w:color w:val="555555"/>
          <w:sz w:val="18"/>
        </w:rPr>
        <w:t xml:space="preserve">Bundes-Immissionsschutzgesetz</w:t>
      </w:r>
    </w:p>
    <w:p>
      <w:r>
        <w:rPr>
          <w:color w:val="555555"/>
          <w:sz w:val="18"/>
        </w:rPr>
        <w:t xml:space="preserve">Stand: 09.06.2026 (konsolidierte Textfassung, kein amtliches Inkrafttretensdatum)</w:t>
      </w:r>
    </w:p>
    <w:p>
      <w:r>
        <w:t xml:space="preserve">(1) Die Bundesregierung wird ermächtigt, nach Anhörung der beteiligten Kreise (§ 51) durch Rechtsverordnung mit Zustimmung des Bundesrates vorzuschreiben, dass bestimmte Stoffe oder Erzeugnisse aus Stoffen, die geeignet sind, bei ihrer bestimmungsgemäßen Verwendung oder bei der Verbrennung zum Zwecke der Beseitigung oder der Rückgewinnung einzelner Bestandteile schädliche Umwelteinwirkungen durch Luftverunreinigungen hervorzurufen, gewerbsmäßig oder im Rahmen wirtschaftlicher Unternehmungen nur hergestellt, eingeführt oder sonst in den Verkehr gebracht werden dürfen, wenn sie zum Schutz vor schädlichen Umwelteinwirkungen durch Luftverunreinigungen bestimmten Anforderungen an ihre Zusammensetzung und das Verfahren zu ihrer Herstellung genügen. Die Ermächtigung des Satzes 1 erstreckt sich nicht auf Anlagen, Brennstoffe, Treibstoffe und Fahrzeuge.</w:t>
      </w:r>
    </w:p>
    <w:p>
      <w:r>
        <w:t xml:space="preserve">(2) Anforderungen nach Absatz 1 Satz 1 können unter Berücksichtigung der technischen Entwicklung auch für einen Zeitpunkt nach Inkrafttreten der Rechtsverordnung festgesetzt werden. Wegen der Anforderungen nach Absatz 1 und Absatz 2 Satz 1 gilt § 7 Absatz 5 entsprechend.</w:t>
      </w:r>
    </w:p>
    <w:p>
      <w:r>
        <w:t xml:space="preserve">(3) Soweit dies mit dem Schutz der Allgemeinheit vor schädlichen Umwelteinwirkungen durch Luftverunreinigungen vereinbar ist, kann in der Rechtsverordnung nach Absatz 1 an Stelle der Anforderungen über die Zusammensetzung und das Herstellungsverfahren vorgeschrieben werden, dass die Stoffe und Erzeugnisse deutlich sichtbar und leicht lesbar mit dem Hinweis zu kennzeichnen sind, dass bei ihrer bestimmungsgemäßen Verwendung oder bei ihrer Verbrennung schädliche Umwelteinwirkungen entstehen können oder dass bei einer bestimmten Verwendungsart schädliche Umwelteinwirkungen vermieden werden können.</w:t>
      </w:r>
    </w:p>
    <w:p>
      <w:r>
        <w:rPr>
          <w:color w:val="555555"/>
          <w:sz w:val="17"/>
        </w:rPr>
        <w:t xml:space="preserve">Zitiervorschlag: § 35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