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BImSchG — Beschaffenheit von Brennstoffen, Treibstoffen und Schmierstoffen; Verordnungsermächtigung</w:t>
      </w:r>
    </w:p>
    <w:p>
      <w:r>
        <w:rPr>
          <w:color w:val="555555"/>
          <w:sz w:val="18"/>
        </w:rPr>
        <w:t xml:space="preserve">Bundes-Immissionsschutzgesetz</w:t>
      </w:r>
    </w:p>
    <w:p>
      <w:r>
        <w:rPr>
          <w:color w:val="555555"/>
          <w:sz w:val="18"/>
        </w:rPr>
        <w:t xml:space="preserve">Stand: 09.06.2026 (konsolidierte Textfassung, kein amtliches Inkrafttretensdatum)</w:t>
      </w:r>
    </w:p>
    <w:p>
      <w:r>
        <w:t xml:space="preserve">(1) Die Bundesregierung wird ermächtigt, nach Anhörung der beteiligten Kreise (§ 51) durch Rechtsverordnung mit Zustimmung des Bundesrates vorzuschreiben, dass Brennstoffe, Treibstoffe, Schmierstoffe oder Zusätze zu diesen Stoffen gewerbsmäßig oder im Rahmen wirtschaftlicher Unternehmungen nur hergestellt, in den Verkehr gebracht oder eingeführt werden dürfen, wenn sie bestimmten Anforderungen zum Schutz vor schädlichen Umwelteinwirkungen durch Luftverunreinigungen genügen. In den Rechtsverordnungen nach Satz 1 kann insbesondere bestimmt werden, dass</w:t>
      </w:r>
    </w:p>
    <w:p>
      <w:pPr>
        <w:ind w:left="420"/>
      </w:pPr>
      <w:r>
        <w:t xml:space="preserve">1. natürliche Bestandteile oder Zusätze von Brennstoffen, Treibstoffen oder Schmierstoffen nach Satz 1, die bei bestimmungsgemäßer Verwendung der Brennstoffe, Treibstoffe, Schmierstoffe oder Zusätze Luftverunreinigungen hervorrufen oder die Bekämpfung von Luftverunreinigungen behindern, nicht zugesetzt werden oder einen bestimmten Höchstgehalt nicht überschreiten dürfen,</w:t>
      </w:r>
    </w:p>
    <w:p>
      <w:pPr>
        <w:ind w:left="420"/>
      </w:pPr>
      <w:r>
        <w:t xml:space="preserve">1a. Zusätze zu Brennstoffen, Treibstoffen oder Schmierstoffen bestimmte Stoffe, die Luftverunreinigungen hervorrufen oder die Bekämpfung von Luftverunreinigungen behindern, nicht oder nur in besonderer Zusammensetzung enthalten dürfen,</w:t>
      </w:r>
    </w:p>
    <w:p>
      <w:pPr>
        <w:ind w:left="420"/>
      </w:pPr>
      <w:r>
        <w:t xml:space="preserve">2. Brennstoffe, Treibstoffe oder Schmierstoffe nach Satz 1 bestimmte Zusätze enthalten müssen, durch die das Entstehen von Luftverunreinigungen begrenzt wird,</w:t>
      </w:r>
    </w:p>
    <w:p>
      <w:pPr>
        <w:ind w:left="420"/>
      </w:pPr>
      <w:r>
        <w:t xml:space="preserve">3. Brennstoffe, Treibstoffe, Schmierstoffe oder Zusätze nach Satz 1 einer bestimmten Behandlung, durch die das Entstehen von Luftverunreinigungen begrenzt wird, unterworfen werden müssen,</w:t>
      </w:r>
    </w:p>
    <w:p>
      <w:pPr>
        <w:ind w:left="420"/>
      </w:pPr>
      <w:r>
        <w:t xml:space="preserve">4. derjenige, der gewerbsmäßig oder im Rahmen wirtschaftlicher Unternehmungen flüssige Brennstoffe, Treibstoffe, Schmierstoffe oder Zusätze zu diesen Stoffen herstellt, einführt oder sonst in den Geltungsbereich dieses Gesetzes verbringt, der zuständigen Bundesoberbehörde</w:t>
      </w:r>
    </w:p>
    <w:p>
      <w:pPr>
        <w:ind w:left="780"/>
      </w:pPr>
      <w:r>
        <w:t xml:space="preserve">a) Zusätze zu flüssigen Brennstoffen, Treibstoffen oder Schmierstoffen, die in ihrer chemischen Zusammensetzung andere Elemente als Kohlenstoff, Wasserstoff und Sauerstoff enthalten, anzuzeigen hat und</w:t>
      </w:r>
    </w:p>
    <w:p>
      <w:pPr>
        <w:ind w:left="780"/>
      </w:pPr>
      <w:r>
        <w:t xml:space="preserve">b) näher zu bestimmende Angaben über die Art und die eingesetzte Menge sowie die möglichen schädlichen Umwelteinwirkungen der Zusätze und deren Verbrennungsprodukte zu machen hat.</w:t>
      </w:r>
    </w:p>
    <w:p>
      <w:r>
        <w:t xml:space="preserve">Anforderungen nach Satz 2 können unter Berücksichtigung der technischen Entwicklung auch für einen Zeitpunkt nach Inkrafttreten der Rechtsverordnungen festgesetzt werden. Wegen der Anforderungen nach den Sätzen 1 bis 3 gilt § 7 Absatz 5 entsprechend.</w:t>
      </w:r>
    </w:p>
    <w:p>
      <w:r>
        <w:t xml:space="preserve">(2) Die Bundesregierung wird ermächtigt, durch Rechtsverordnung mit Zustimmung des Bundesrates vorzuschreiben,</w:t>
      </w:r>
    </w:p>
    <w:p>
      <w:pPr>
        <w:ind w:left="420"/>
      </w:pPr>
      <w:r>
        <w:t xml:space="preserve">1. dass bei der Einfuhr von Brennstoffen, Treibstoffen, Schmierstoffen oder Zusätzen, für die Anforderungen nach Absatz 1 Satz 1 festgesetzt worden sind, eine schriftliche Erklärung des Herstellers über die Beschaffenheit der Brennstoffe, Treibstoffe, Schmierstoffe oder Zusätze den Zolldienststellen vorzulegen, bis zum ersten Bestimmungsort der Sendung mitzuführen und bis zum Abgang der Sendung vom ersten Bestimmungsort dort verfügbar zu halten ist,</w:t>
      </w:r>
    </w:p>
    <w:p>
      <w:pPr>
        <w:ind w:left="420"/>
      </w:pPr>
      <w:r>
        <w:t xml:space="preserve">2. dass der Einführer diese Erklärung zu seinen Geschäftspapieren zu nehmen hat,</w:t>
      </w:r>
    </w:p>
    <w:p>
      <w:pPr>
        <w:ind w:left="420"/>
      </w:pPr>
      <w:r>
        <w:t xml:space="preserve">3. welche Angaben über die Beschaffenheit der Brennstoffe, Treibstoffe, Schmierstoffe oder Zusätze die schriftliche Erklärung enthalten muss,</w:t>
      </w:r>
    </w:p>
    <w:p>
      <w:pPr>
        <w:ind w:left="420"/>
      </w:pPr>
      <w:r>
        <w:t xml:space="preserve">4. dass Brennstoffe, Treibstoffe, Schmierstoffe oder Zusätze nach Absatz 1 Satz 1, die in den Geltungsbereich dieses Gesetzes, ausgenommen in Zollausschlüsse, verbracht werden, bei der Verbringung von dem Einführer den zuständigen Behörden des Bestimmungsortes zu melden sind,</w:t>
      </w:r>
    </w:p>
    <w:p>
      <w:pPr>
        <w:ind w:left="420"/>
      </w:pPr>
      <w:r>
        <w:t xml:space="preserve">5. dass bei der Lagerung von Brennstoffen, Treibstoffen, Schmierstoffen oder Zusätzen nach Absatz 1 Satz 1 Tankbelegbücher zu führen sind, aus denen sich die Lieferer der Brennstoffe, Treibstoffe, Schmierstoffe oder Zusätze nach Absatz 1 Satz 1 ergeben,</w:t>
      </w:r>
    </w:p>
    <w:p>
      <w:pPr>
        <w:ind w:left="420"/>
      </w:pPr>
      <w:r>
        <w:t xml:space="preserve">6. dass derjenige, der gewerbsmäßig oder im Rahmen wirtschaftlicher Unternehmungen an den Verbraucher Stoffe oder Zusätze nach Absatz 1 Satz 1 veräußert, diese deutlich sichtbar und leicht lesbar mit Angaben über bestimmte Eigenschaften kenntlich zu machen hat und</w:t>
      </w:r>
    </w:p>
    <w:p>
      <w:pPr>
        <w:ind w:left="420"/>
      </w:pPr>
      <w:r>
        <w:t xml:space="preserve">7. dass derjenige, der Stoffe oder Zusätze nach Absatz 1 Satz 1 gewerbsmäßig oder im Rahmen wirtschaftlicher Unternehmungen in den Verkehr bringt, den nach Nummer 6 Auszeichnungspflichtigen über bestimmte Eigenschaften zu unterrichten hat.</w:t>
      </w:r>
    </w:p>
    <w:p>
      <w:r>
        <w:t xml:space="preserve">(3) Die Bundesregierung wird ermächtigt, nach Anhörung der beteiligten Kreise (§ 51) durch Rechtsverordnung mit Zustimmung des Bundesrates vorzuschreiben, dass, wer gewerbsmäßig oder im Rahmen wirtschaftlicher Unternehmungen Treibstoffe in den Verkehr bringt, zur Vermeidung von Schäden an Fahrzeugen verpflichtet werden kann, auch Treibstoffe mit bestimmten Eigenschaften, insbesondere mit nicht zu überschreitenden Höchstgehalten an Sauerstoff und Biokraftstoff, in den Verkehr zu bringen. In der Rechtsverordnung nach Satz 1 kann darüber hinaus die Unterrichtung der Verbraucher über biogene Anteile der Treibstoffe und den geeigneten Einsatz der verschiedenen Treibstoffmischungen geregelt werden; für die Regelung der Pflicht zur Unterrichtung gilt Absatz 2 Nummer 6 und 7 entsprechend.</w:t>
      </w:r>
    </w:p>
    <w:p>
      <w:r>
        <w:t xml:space="preserve">(4) Die Bundesregierung wird ermächtigt, nach Anhörung der beteiligten Kreise (§ 51) durch Rechtsverordnung ohne Zustimmung des Bundesrates zu regeln, dass Unternehmen, die Treibstoffe in Verkehr bringen, jährlich folgende Daten der in der Rechtsverordnung zu bestimmenden Bundesbehörde vorzulegen haben:</w:t>
      </w:r>
    </w:p>
    <w:p>
      <w:pPr>
        <w:ind w:left="420"/>
      </w:pPr>
      <w:r>
        <w:t xml:space="preserve">a) die Gesamtmenge der jeweiligen Art von geliefertem Treibstoff unter Angabe des Erwerbsortes und des Ursprungs des Treibstoffs und</w:t>
      </w:r>
    </w:p>
    <w:p>
      <w:pPr>
        <w:ind w:left="420"/>
      </w:pPr>
      <w:r>
        <w:t xml:space="preserve">b) die Lebenszyklustreibhausgasemissionen pro Energieeinheit.</w:t>
      </w:r>
    </w:p>
    <w:p>
      <w:r>
        <w:rPr>
          <w:color w:val="555555"/>
          <w:sz w:val="17"/>
        </w:rPr>
        <w:t xml:space="preserve">Zitiervorschlag: § 34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