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BImSchG — Auskunftspflichten des Betreibers</w:t>
      </w:r>
    </w:p>
    <w:p>
      <w:r>
        <w:rPr>
          <w:color w:val="555555"/>
          <w:sz w:val="18"/>
        </w:rPr>
        <w:t xml:space="preserve">Bundes-Immissionsschutzgesetz</w:t>
      </w:r>
    </w:p>
    <w:p>
      <w:r>
        <w:rPr>
          <w:color w:val="555555"/>
          <w:sz w:val="18"/>
        </w:rPr>
        <w:t xml:space="preserve">Stand: 15.12.2020 (konsolidierte Textfassung, kein amtliches Inkrafttretensdatum)</w:t>
      </w:r>
    </w:p>
    <w:p>
      <w:r>
        <w:t xml:space="preserve">(1) Der Betreiber einer Anlage nach der Industrieemissions-Richtlinie hat nach Maßgabe der Nebenbestimmungen der Genehmigung oder auf Grund von Rechtsverordnungen der zuständigen Behörde jährlich Folgendes vorzulegen:</w:t>
      </w:r>
    </w:p>
    <w:p>
      <w:pPr>
        <w:ind w:left="420"/>
      </w:pPr>
      <w:r>
        <w:t xml:space="preserve">1. eine Zusammenfassung der Ergebnisse der Emissionsüberwachung,</w:t>
      </w:r>
    </w:p>
    <w:p>
      <w:pPr>
        <w:ind w:left="420"/>
      </w:pPr>
      <w:r>
        <w:t xml:space="preserve">2. sonstige Daten, die erforderlich sind, um die Einhaltung der Genehmigungsanforderungen gemäß § 6 Absatz 1 Nummer 1 zu überprüfen.</w:t>
      </w:r>
    </w:p>
    <w:p>
      <w:r>
        <w:t xml:space="preserve">Die Pflicht nach Satz 1 besteht nicht, soweit die erforderlichen Angaben der zuständigen Behörde bereits auf Grund anderer Vorschriften vorzulegen sind. Wird in einer Rechtsverordnung nach § 7 ein Emissionsgrenzwert nach § 7 Absatz 1a, in einer Verwaltungsvorschrift nach § 48 ein Emissionswert nach § 48 Absatz 1a oder in einer Genehmigung nach § 12 Absatz 1 oder einer nachträglichen Anordnung nach § 17 Absatz 2a eine Emissionsbegrenzung nach § 12 Absatz 1a oder § 17 Absatz 2a oberhalb der in den BVT-Schlussfolgerungen genannten Emissionsbandbreiten bestimmt, so hat die Zusammenfassung nach Satz 1 Nummer 1 einen Vergleich mit den in den BVT-Schlussfolgerungen genannten Emissionsbandbreiten zu ermöglichen.</w:t>
      </w:r>
    </w:p>
    <w:p>
      <w:r>
        <w:t xml:space="preserve">(2) Der Betreiber einer Anlage nach der Industrieemissions-Richtlinie kann von der zuständigen Behörde verpflichtet werden, diejenigen Daten zu übermitteln, deren Übermittlung nach einem Durchführungsrechtsakt nach Artikel 72 Absatz 2 der Richtlinie 2010/75/EU vorgeschrieben ist und die zur Erfüllung der Berichtspflicht nach § 61 Absatz 1 erforderlich sind, soweit solche Daten nicht bereits auf Grund anderer Vorschriften bei der zuständigen Behörde vorhanden sind. § 3 Absatz 1 Satz 2 und § 5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gelten entsprechend.</w:t>
      </w:r>
    </w:p>
    <w:p>
      <w:r>
        <w:t xml:space="preserve">(2a) Der Betreiber von Anlagen, die Betriebsbereich oder Bestandteil eines Betriebsbereichs sind, kann von der zuständigen Behörde verpflichtet werden, diejenigen Daten zu übermitteln, deren Übermittlung nach einem Durchführungsrechtsakt nach Artikel 21 Absatz 5 der Richtlinie 2012/18/EU vorgeschrieben ist und die zur Erfüllung der Berichtspflicht nach § 61 Absatz 2 erforderlich sind, soweit solche Daten nicht bereits auf Grund anderer Vorschriften bei der zuständigen Behörde vorhanden sind. Absatz 2 Satz 2 gilt entsprechend.</w:t>
      </w:r>
    </w:p>
    <w:p>
      <w:r>
        <w:t xml:space="preserve">(3) Wird bei einer Anlage nach der Industrieemissions-Richtlinie festgestellt, dass Anforderungen gemäß § 6 Absatz 1 Nummer 1 nicht eingehalten werden, hat der Betreiber dies der zuständigen Behörde unverzüglich mitzuteilen.</w:t>
      </w:r>
    </w:p>
    <w:p>
      <w:r>
        <w:t xml:space="preserve">(4) Der Betreiber einer Anlage nach der Industrieemissions-Richtlinie hat bei allen Ereignissen mit schädlichen Umwelteinwirkungen die zuständige Behörde unverzüglich zu unterrichten, soweit er hierzu nicht bereits nach § 4 des Umweltschadensgesetzes oder nach § 19 der Störfall-Verordnung verpflichtet ist.</w:t>
      </w:r>
    </w:p>
    <w:p>
      <w:r>
        <w:t xml:space="preserve">(5) Der Betreiber der Anlage hat das Ergebnis der auf Grund einer Anordnung nach § 26, § 28 oder § 29 getroffenen Ermittlungen der zuständigen Behörde auf Verlangen mitzuteilen und die Aufzeichnungen der Messgeräte nach § 29 fünf Jahre lang aufzubewahren. Die zuständige Behörde kann die Art der Übermittlung der Messergebnisse vorschreiben. Die Ergebnisse der Überwachung der Emissionen, die bei der Behörde vorliegen, sind für die Öffentlichkeit nach den Bestimmungen des Umweltinformationsgesetzes mit Ausnahme des § 12 zugänglich; für Landesbehörden gelten die landesrechtlichen Vorschriften.</w:t>
      </w:r>
    </w:p>
    <w:p>
      <w:r>
        <w:rPr>
          <w:color w:val="555555"/>
          <w:sz w:val="17"/>
        </w:rPr>
        <w:t xml:space="preserve">Zitiervorschlag: § 31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