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 BImSchG — Kosten der Messungen und sicherheitstechnischen Prüfungen</w:t>
      </w:r>
    </w:p>
    <w:p>
      <w:r>
        <w:rPr>
          <w:color w:val="555555"/>
          <w:sz w:val="18"/>
        </w:rPr>
        <w:t xml:space="preserve">Bundes-Immissionsschutzgesetz</w:t>
      </w:r>
    </w:p>
    <w:p>
      <w:r>
        <w:rPr>
          <w:color w:val="555555"/>
          <w:sz w:val="18"/>
        </w:rPr>
        <w:t xml:space="preserve">Stand: 10.06.2019 (konsolidierte Textfassung, kein amtliches Inkrafttretensdatum)</w:t>
      </w:r>
    </w:p>
    <w:p>
      <w:r>
        <w:t xml:space="preserve">Die Kosten für die Ermittlungen der Emissionen und Immissionen sowie für die sicherheitstechnischen Prüfungen trägt der Betreiber der Anlage. Bei nicht genehmigungsbedürftigen Anlagen trägt der Betreiber die Kosten für Ermittlungen nach § 26 oder § 29 Absatz 2 nur, wenn die Ermittlungen ergeben, dass</w:t>
      </w:r>
    </w:p>
    <w:p>
      <w:pPr>
        <w:ind w:left="420"/>
      </w:pPr>
      <w:r>
        <w:t xml:space="preserve">1. Auflagen oder Anordnungen nach den Vorschriften dieses Gesetzes oder der auf dieses Gesetz gestützten Rechtsverordnungen nicht erfüllt worden sind oder</w:t>
      </w:r>
    </w:p>
    <w:p>
      <w:pPr>
        <w:ind w:left="420"/>
      </w:pPr>
      <w:r>
        <w:t xml:space="preserve">2. Anordnungen oder Auflagen nach den Vorschriften dieses Gesetzes oder der auf dieses Gesetz gestützten Rechtsverordnungen geboten sind.</w:t>
      </w:r>
    </w:p>
    <w:p>
      <w:r>
        <w:rPr>
          <w:color w:val="555555"/>
          <w:sz w:val="17"/>
        </w:rPr>
        <w:t xml:space="preserve">Zitiervorschlag: § 30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 BImSchG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