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BImSchG — Pflichten der Betreiber nicht genehmigungsbedürftiger Anlagen</w:t>
      </w:r>
    </w:p>
    <w:p>
      <w:r>
        <w:rPr>
          <w:color w:val="555555"/>
          <w:sz w:val="18"/>
        </w:rPr>
        <w:t xml:space="preserve">Bundes-Immissionsschutzgesetz</w:t>
      </w:r>
    </w:p>
    <w:p>
      <w:r>
        <w:rPr>
          <w:color w:val="555555"/>
          <w:sz w:val="18"/>
        </w:rPr>
        <w:t xml:space="preserve">Stand: 10.06.2019 (konsolidierte Textfassung, kein amtliches Inkrafttretensdatum)</w:t>
      </w:r>
    </w:p>
    <w:p>
      <w:r>
        <w:t xml:space="preserve">(1) Nicht genehmigungsbedürftige Anlagen sind so zu errichten und zu betreiben, dass</w:t>
      </w:r>
    </w:p>
    <w:p>
      <w:pPr>
        <w:ind w:left="420"/>
      </w:pPr>
      <w:r>
        <w:t xml:space="preserve">1. schädliche Umwelteinwirkungen verhindert werden, die nach dem Stand der Technik vermeidbar sind,</w:t>
      </w:r>
    </w:p>
    <w:p>
      <w:pPr>
        <w:ind w:left="420"/>
      </w:pPr>
      <w:r>
        <w:t xml:space="preserve">2. nach dem Stand der Technik unvermeidbare schädliche Umwelteinwirkungen auf ein Mindestmaß beschränkt werden und</w:t>
      </w:r>
    </w:p>
    <w:p>
      <w:pPr>
        <w:ind w:left="420"/>
      </w:pPr>
      <w:r>
        <w:t xml:space="preserve">3. die beim Betrieb der Anlagen entstehenden Abfälle ordnungsgemäß beseitigt werden können.</w:t>
      </w:r>
    </w:p>
    <w:p>
      <w:r>
        <w:t xml:space="preserve">Die Bundesregierung wird ermächtigt, nach Anhörung der beteiligten Kreise (§ 51) durch Rechtsverordnung mit Zustimmung des Bundesrates auf Grund der Art oder Menge aller oder einzelner anfallender Abfälle die Anlagen zu bestimmen, für die die Anforderungen des § 5 Absatz 1 Nummer 3 entsprechend gelten. Für Anlagen, die nicht gewerblichen Zwecken dienen und nicht im Rahmen wirtschaftlicher Unternehmungen Verwendung finden, gilt die Verpflichtung des Satzes 1 nur, soweit sie auf die Verhinderung oder Beschränkung von schädlichen Umwelteinwirkungen durch Luftverunreinigungen, Geräusche oder von Funkanlagen ausgehende nichtionisierende Strahlen gerichtet ist.</w:t>
      </w:r>
    </w:p>
    <w:p>
      <w:r>
        <w:t xml:space="preserve">(1a) Geräuscheinwirkungen, die von Kindertageseinrichtungen, Kinderspielplätzen und ähnlichen Einrichtungen wie beispielsweise Ballspielplätzen durch Kinder hervorgerufen werden, sind im Regelfall keine schädliche Umwelteinwirkung. Bei der Beurteilung der Geräuscheinwirkungen dürfen Immissionsgrenz- und -richtwerte nicht herangezogen werden.</w:t>
      </w:r>
    </w:p>
    <w:p>
      <w:r>
        <w:t xml:space="preserve">(2) Weitergehende öffentlich-rechtliche Vorschriften bleiben unberührt.</w:t>
      </w:r>
    </w:p>
    <w:p>
      <w:r>
        <w:rPr>
          <w:color w:val="555555"/>
          <w:sz w:val="17"/>
        </w:rPr>
        <w:t xml:space="preserve">Zitiervorschlag: § 22 BImSchG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https://recht.nulegal.eu/gesetze/BImSchG/22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