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16c BImSchG — Sondervorschriften für Wasserstoffinfrastrukturvorhaben</w:t>
      </w:r>
    </w:p>
    <w:p>
      <w:r>
        <w:rPr>
          <w:color w:val="555555"/>
          <w:sz w:val="18"/>
        </w:rPr>
        <w:t xml:space="preserve">Bundes-Immissionsschutzgesetz</w:t>
      </w:r>
    </w:p>
    <w:p>
      <w:r>
        <w:rPr>
          <w:color w:val="555555"/>
          <w:sz w:val="18"/>
        </w:rPr>
        <w:t xml:space="preserve">Stand: 02.04.2026 (konsolidierte Textfassung, kein amtliches Inkrafttretensdatum)</w:t>
      </w:r>
    </w:p>
    <w:p>
      <w:r>
        <w:t xml:space="preserve">(1) Die §§ 10 und 23b sind bei der Genehmigung von einer Anlage oder Leitung nach § 2 Absatz 1 des Wasserstoffbeschleunigungsgesetzes vom 29. März 2026 (BGBl. 2026 I Nr. 84, S. 2), in der jeweils geltenden Fassung, mit der Maßgabe anzuwenden, dass das Genehmigungsverfahren elektronisch durchzuführen ist. Einwendungen und Stellungnahmen können anstelle der elektronischen Eingabe auch bei der zuständigen Behörde mündlich zur elektronischen Eingabe abgegeben werden. In der Bekanntmachung der Auslegung oder bei der Bekanntgabe der Einwendungsfrist ist auf das elektronisch durchzuführende Verfahren nach Satz 1 und die Ausnahme nach Satz 2 hinzuweisen. Die Verpflichtung der zuständigen Behörde, das Vorhaben im amtlichen Veröffentlichungsblatt und auf ihrer Internetseite öffentlich bekannt zu machen, bleibt unberührt.</w:t>
      </w:r>
    </w:p>
    <w:p>
      <w:r>
        <w:t xml:space="preserve">(2) § 8a ist mit der Maßgabe anzuwenden, dass für eine Anlage oder eine Leitung nach § 2 Absatz 1 des Wasserstoffbeschleunigungsgesetzes ein öffentliches Interesse im Sinne des § 8a Absatz 1 Nummer 2 besteht.</w:t>
      </w:r>
    </w:p>
    <w:p>
      <w:r>
        <w:t xml:space="preserve">(3) § 16b Absatz 1, 2 Satz 1 und 2 Nummer 1, Satz 3 und Absatz 4 ist für eine Anlage nach § 2 Absatz 1 Nummer 1 des Wasserstoffbeschleunigungsgesetzes entsprechend anzuwenden.</w:t>
      </w:r>
    </w:p>
    <w:p>
      <w:r>
        <w:rPr>
          <w:color w:val="555555"/>
          <w:sz w:val="17"/>
        </w:rPr>
        <w:t xml:space="preserve">Zitiervorschlag: § 16c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