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BImSchG — Zweck des Gesetzes</w:t>
      </w:r>
    </w:p>
    <w:p>
      <w:r>
        <w:rPr>
          <w:color w:val="555555"/>
          <w:sz w:val="18"/>
        </w:rPr>
        <w:t xml:space="preserve">Bundes-Immissionsschutzgesetz</w:t>
      </w:r>
    </w:p>
    <w:p>
      <w:r>
        <w:rPr>
          <w:color w:val="555555"/>
          <w:sz w:val="18"/>
        </w:rPr>
        <w:t xml:space="preserve">Stand: 09.07.2024 (konsolidierte Textfassung, kein amtliches Inkrafttretensdatum)</w:t>
      </w:r>
    </w:p>
    <w:p>
      <w:r>
        <w:t xml:space="preserve">(1) Zweck dieses Gesetzes ist es, Menschen, Wild- und Nutztiere und Pflanzen, den Boden, das Wasser, die Atmosphäre, das Klima sowie Kultur- und sonstige Sachgüter vor schädlichen Umwelteinwirkungen zu schützen und dem Entstehen schädlicher Umwelteinwirkungen vorzubeugen.</w:t>
      </w:r>
    </w:p>
    <w:p>
      <w:r>
        <w:t xml:space="preserve">(2) Soweit es sich um genehmigungsbedürftige Anlagen handelt, dient dieses Gesetz auch</w:t>
      </w:r>
    </w:p>
    <w:p>
      <w:pPr>
        <w:ind w:left="420"/>
      </w:pPr>
      <w:r>
        <w:t xml:space="preserve">– der integrierten Vermeidung und Verminderung schädlicher Umwelteinwirkungen durch Emissionen in Luft, Wasser und Boden unter Einbeziehung der Abfallwirtschaft, um ein hohes Schutzniveau für die Umwelt insgesamt zu erreichen, sowie</w:t>
      </w:r>
    </w:p>
    <w:p>
      <w:pPr>
        <w:ind w:left="420"/>
      </w:pPr>
      <w:r>
        <w:t xml:space="preserve">– dem Schutz und der Vorsorge gegen Gefahren, erhebliche Nachteile und erhebliche Belästigungen, die auf andere Weise herbeigeführt werden.</w:t>
      </w:r>
    </w:p>
    <w:p>
      <w:r>
        <w:rPr>
          <w:color w:val="555555"/>
          <w:sz w:val="17"/>
        </w:rPr>
        <w:t xml:space="preserve">Zitiervorschlag: § 1 BImSchG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https://recht.nulegal.eu/gesetze/BImSchG/1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