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BImAG — Wirtschaftsplan</w:t>
      </w:r>
    </w:p>
    <w:p>
      <w:r>
        <w:rPr>
          <w:color w:val="555555"/>
          <w:sz w:val="18"/>
        </w:rPr>
        <w:t xml:space="preserve">Gesetz über die Bundesanstalt für Immobilienaufgaben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Der Vorstand stellt vor Beginn des Geschäftsjahres einen Wirtschaftsplan auf, der</w:t>
      </w:r>
    </w:p>
    <w:p>
      <w:pPr>
        <w:ind w:left="420"/>
      </w:pPr>
      <w:r>
        <w:t xml:space="preserve">- eine Vorschau-Gewinn- und Verlustrechnung,</w:t>
      </w:r>
    </w:p>
    <w:p>
      <w:pPr>
        <w:ind w:left="420"/>
      </w:pPr>
      <w:r>
        <w:t xml:space="preserve">- eine Überleitungsrechnung auf Einnahmen und Ausgaben einschließlich der Investitionsplanung,</w:t>
      </w:r>
    </w:p>
    <w:p>
      <w:pPr>
        <w:ind w:left="420"/>
      </w:pPr>
      <w:r>
        <w:t xml:space="preserve">- eine Personalplanung</w:t>
      </w:r>
    </w:p>
    <w:p>
      <w:r>
        <w:t xml:space="preserve">umfasst. In den Wirtschaftsplan können Mittel zur Bildung von Rücklagen eingestellt werden. Geschäftsjahr ist das Kalenderjahr. Einzelheiten regelt die Satzung.</w:t>
      </w:r>
    </w:p>
    <w:p>
      <w:r>
        <w:t xml:space="preserve">(2) Der Wirtschaftsplan bedarf der Genehmigung des Verwaltungsrats. Die Abführung an den Bundeshaushalt erfolgt auf der Grundlage des Wirtschaftsplanes. Die Höhe der Abführung soll sich am Jahresüberschuss der Bundesanstalt orientieren.</w:t>
      </w:r>
    </w:p>
    <w:p>
      <w:r>
        <w:rPr>
          <w:color w:val="555555"/>
          <w:sz w:val="17"/>
        </w:rPr>
        <w:t xml:space="preserve">Zitiervorschlag: § 7 BImAG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https://recht.nulegal.eu/gesetze/BImAG/7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