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BImAG — Auflösung von Organisationseinheiten der Bundesvermögensverwaltung</w:t>
      </w:r>
    </w:p>
    <w:p>
      <w:r>
        <w:rPr>
          <w:color w:val="555555"/>
          <w:sz w:val="18"/>
        </w:rPr>
        <w:t xml:space="preserve">Gesetz über die Bundesanstalt für Immobilienaufgaben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Bundesvermögensämter, die Bundesforstämter und die Bundesvermögensabteilungen der Oberfinanzdirektionen als Organisationseinheiten der Bundesvermögensverwaltung sind mit Ablauf des 31. Dezember 2004 aufgelöst.</w:t>
      </w:r>
    </w:p>
    <w:p>
      <w:r>
        <w:rPr>
          <w:color w:val="555555"/>
          <w:sz w:val="17"/>
        </w:rPr>
        <w:t xml:space="preserve">Zitiervorschlag: § 13 BImAG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https://recht.nulegal.eu/gesetze/BImAG/13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