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BImAG — Arbeitnehmerinnen und Arbeitnehmer, Auszubildende</w:t>
      </w:r>
    </w:p>
    <w:p>
      <w:r>
        <w:rPr>
          <w:color w:val="555555"/>
          <w:sz w:val="18"/>
        </w:rPr>
        <w:t xml:space="preserve">Gesetz über die Bundesanstalt für Immobilienaufgaben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Arbeitnehmerinnen, Arbeitnehmer und Auszubildenden der Bundesanstalt sind die für Arbeitnehmerinnen, Arbeitnehmer und Auszubildende des Bundes jeweils geltenden Tarifverträge und sonstigen Bestimmungen anzuwenden.</w:t>
      </w:r>
    </w:p>
    <w:p>
      <w:r>
        <w:t xml:space="preserve">(2) Angestellte können auch oberhalb der höchsten tarifvertraglichen Vergütungsgruppe in einem außertariflichen Angestelltenverhältnis beschäftigt werden, soweit dies für die Durchführung der Aufgaben erforderlich ist. Satz 1 gilt für die sonstige Gewährung von übertariflichen und außertariflichen Leistungen entsprechend.</w:t>
      </w:r>
    </w:p>
    <w:p>
      <w:r>
        <w:rPr>
          <w:color w:val="555555"/>
          <w:sz w:val="17"/>
        </w:rPr>
        <w:t xml:space="preserve">Zitiervorschlag: § 12 BImAG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https://recht.nulegal.eu/gesetze/BImAG/12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