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BImADiszV</w:t>
      </w:r>
    </w:p>
    <w:p>
      <w:r>
        <w:rPr>
          <w:color w:val="555555"/>
          <w:sz w:val="18"/>
        </w:rPr>
        <w:t xml:space="preserve">Verordnung zur Übertragung von Disziplinarbefugnissen auf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83 Absatz 1 Satz 2 des Bundesdisziplinargesetzes vom 9. Juli 2001 (BGBl. I S. 1510) verordnet das Bundesministerium der Finanzen im Einvernehmen mit dem Bundesministerium des Innern:</w:t>
      </w:r>
    </w:p>
    <w:p>
      <w:r>
        <w:rPr>
          <w:color w:val="555555"/>
          <w:sz w:val="17"/>
        </w:rPr>
        <w:t xml:space="preserve">Zitiervorschlag: Eingangsformel BImADiszV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https://recht.nulegal.eu/gesetze/BImADiszV/eingangsformel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