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BImADiszV — Übertragung der Befugnisse</w:t>
      </w:r>
    </w:p>
    <w:p>
      <w:r>
        <w:rPr>
          <w:color w:val="555555"/>
          <w:sz w:val="18"/>
        </w:rPr>
        <w:t xml:space="preserve">Verordnung zur Übertragung von Disziplinarbefugnissen auf die Bundesanstalt für Immobilienaufgaben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Disziplinarbefugnisse des Bundesministeriums der Finanzen gegenüber den Beamtinnen und Beamten der Bundesanstalt für Immobilienaufgaben werden auf die Sprecherin oder den Sprecher des Vorstandes der Bundesanstalt übertragen.</w:t>
      </w:r>
    </w:p>
    <w:p>
      <w:r>
        <w:rPr>
          <w:color w:val="555555"/>
          <w:sz w:val="17"/>
        </w:rPr>
        <w:t xml:space="preserve">Zitiervorschlag: § 1 BImADiszV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https://recht.nulegal.eu/gesetze/BImADiszV/1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