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BIV</w:t>
      </w:r>
    </w:p>
    <w:p>
      <w:r>
        <w:rPr>
          <w:color w:val="555555"/>
          <w:sz w:val="18"/>
        </w:rPr>
        <w:t xml:space="preserve">BaFin-Integritäts-Verordnung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Auf Grund des § 11a Absatz 1a Satz 1 bis 3, Absatz 4 Satz 2 und 3, Absatz 6 Satz 1 bis 4 und Absatz 7 des Finanzdienstleistungsaufsichtsgesetzes, dessen Absatz 1a Satz 1 bis 3, Absatz 4 Satz 2 und 3, Absatz 6 Satz 1 bis 4 und Absatz 7 durch Artikel 19 Nummer 8 Buchstabe b, e Doppelbuchstabe aa und Buchstabe f des Gesetzes vom 27. Dezember 2024 (BGBl. 2024 I Nr. 438) eingefügt worden sind, verordnet das Bundesministerium der Finanzen:</w:t>
      </w:r>
    </w:p>
    <w:p>
      <w:r>
        <w:rPr>
          <w:color w:val="555555"/>
          <w:sz w:val="17"/>
        </w:rPr>
        <w:t xml:space="preserve">Zitiervorschlag: Eingangsformel BIV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