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BIV — Anwendungsbereich</w:t>
      </w:r>
    </w:p>
    <w:p>
      <w:r>
        <w:rPr>
          <w:color w:val="555555"/>
          <w:sz w:val="18"/>
        </w:rPr>
        <w:t xml:space="preserve">BaFin-Integritäts-Verordnung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Beschäftigte im Sinne dieser Verordnung sind alle Beamtinnen und Beamten der Bundesanstalt für Finanzdienstleistungsaufsicht (Bundesanstalt), alle Personen, die mit ihr in einem Arbeits- oder Ausbildungsverhältnis stehen, in der Bundesanstalt beschäftigte Praktikantinnen und Praktikanten, Referendarinnen und Referendare, Hospitantinnen und Hospitanten sowie Beschäftigte anderer Behörden, die bei der Bundesanstalt im Wege der Abordnung tätig sind.</w:t>
      </w:r>
    </w:p>
    <w:p>
      <w:r>
        <w:t xml:space="preserve">(2) Diese Verordnung gilt nur für Geschäfte von Beschäftigten, die sie für eigene oder fremde Rechnung oder für einen anderen durchführen (private Finanzgeschäfte).</w:t>
      </w:r>
    </w:p>
    <w:p>
      <w:r>
        <w:rPr>
          <w:color w:val="555555"/>
          <w:sz w:val="17"/>
        </w:rPr>
        <w:t xml:space="preserve">Zitiervorschlag: § 1 BIV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