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BITVNRW (Nordrhein-Westfalen) — Bericht</w:t>
      </w:r>
    </w:p>
    <w:p>
      <w:r>
        <w:rPr>
          <w:color w:val="555555"/>
          <w:sz w:val="18"/>
        </w:rPr>
        <w:t xml:space="preserve">Barrierefreie-Informationstechnik-Verordnung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Berichte gemäß § 10c Absatz 2 des Behindertengleichstellungsgesetzes Nordrhein-Westfalen sind gemäß Artikel 8 bis 11 und Anhang II des Durchführungsbeschlusses (EU) 2018/1524 seitens der Überwachungsstelle zu erstellen.</w:t>
      </w:r>
    </w:p>
    <w:p>
      <w:r>
        <w:t xml:space="preserve">Abschnitt 4</w:t>
      </w:r>
    </w:p>
    <w:p>
      <w:r>
        <w:t xml:space="preserve">Ombudsverfahren</w:t>
      </w:r>
    </w:p>
    <w:p>
      <w:r>
        <w:rPr>
          <w:color w:val="555555"/>
          <w:sz w:val="17"/>
        </w:rPr>
        <w:t xml:space="preserve">Zitiervorschlag: § 8 BITVNRW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https://recht.nulegal.eu/gesetze/BITVNRW/8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