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BITVNRW (Nordrhein-Westfalen) — Aufgaben der Überwachungsstelle</w:t>
      </w:r>
    </w:p>
    <w:p>
      <w:r>
        <w:rPr>
          <w:color w:val="555555"/>
          <w:sz w:val="18"/>
        </w:rPr>
        <w:t xml:space="preserve">Barrierefreie-Informationstechnik-Verordnung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Überwachungsstelle nach § 10c des Behindertengleichstellungsgesetzes Nordrhein-Westfalen führt die Überwachung der Einhaltung der Anforderungen an die Barrierefreiheit von Websites und mobilen Anwendungen der öffentlichen Stellen des Landes nach den Maßgaben des § 7 durch.</w:t>
      </w:r>
    </w:p>
    <w:p>
      <w:r>
        <w:t xml:space="preserve">(2) Die Überwachungsstelle berichtet dem für die Belange von Menschen mit Behinderungen federführend zuständigen Ministerium über das Ergebnis der Überwachung nach Absatz 1. Für die Berichterstattung gelten Artikel 8 Absatz 4 und 5 der Richtlinie (EU) 2016/2102 sowie der Durchführungsbeschluss (EU) 2018/1524 der Kommission vom 11. Oktober 2018 zur Festlegung einer Überwachungsmethodik und Modalitäten für die Berichterstattung der Mitgliedstaaten gemäß der Richtlinie (EU) 2016/2102 des Europäischen Parlaments und des Rates über den barrierefreien Zugang zu den Websites und mobilen Anwendungen öffentlicher Stellen (ABl. L 256 vom 12.10.2018, S. 108, ABl. L 259 vom 16.10.2018, S. 43).</w:t>
      </w:r>
    </w:p>
    <w:p>
      <w:r>
        <w:t xml:space="preserve">(3) Die Überwachungsstelle hat die Aufgabe, die Ombudsstelle nach § 9 im Ombudsverfahren mit ihrer Fachexpertise zu unterstützen und regelmäßig Schulungsangebote über die barrierefreie technische Gestaltung von Websites und mobilen Anwendungen gemäß § 3 für die Mitarbeiter öffentlicher Stellen des Landes anzubieten. Die Überwachungsstelle kann für die Schulungsangebote ein Entgelt verlangen.</w:t>
      </w:r>
    </w:p>
    <w:p>
      <w:r>
        <w:t xml:space="preserve">(4) Das für die Belange von Menschen mit Behinderungen federführend zuständige Ministerium veröffentlicht auf seiner Website die Kontaktdaten, an die die öffentlichen Stellen des Landes ihre Erklärung zur Barrierefreiheit übermitteln.</w:t>
      </w:r>
    </w:p>
    <w:p>
      <w:r>
        <w:rPr>
          <w:color w:val="555555"/>
          <w:sz w:val="17"/>
        </w:rPr>
        <w:t xml:space="preserve">Zitiervorschlag: § 6 BITVNRW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https://recht.nulegal.eu/gesetze/BITVNRW/6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