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BITVNRW (Nordrhein-Westfalen) — Bericht</w:t>
      </w:r>
    </w:p>
    <w:p>
      <w:r>
        <w:rPr>
          <w:color w:val="555555"/>
          <w:sz w:val="18"/>
        </w:rPr>
        <w:t xml:space="preserve">Barrierefreie-Informationstechnik-Verordnung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Ombudsstelle stellt dem für die Belange von Menschen mit Behinderungen federführend zuständigen Ministerium alle gemäß Anhang II des Durchführungsbeschlusses (EU) 2018/1524 erforderlichen Informationen für die Berichterstattung nach §10c des Behindertengleichstellungsgesetzes Nordrhein-Westfalen zur Verfügung.</w:t>
      </w:r>
    </w:p>
    <w:p>
      <w:r>
        <w:rPr>
          <w:color w:val="555555"/>
          <w:sz w:val="17"/>
        </w:rPr>
        <w:t xml:space="preserve">Zitiervorschlag: § 15 BITVNRW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https://recht.nulegal.eu/gesetze/BITVNRW/15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