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BITV 2.0</w:t>
      </w:r>
    </w:p>
    <w:p>
      <w:r>
        <w:rPr>
          <w:color w:val="555555"/>
          <w:sz w:val="18"/>
        </w:rPr>
        <w:t xml:space="preserve">Barrierefreie-Informationstechnik-Verordnung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Absatz 1 Satz 2 des Behindertengleichstellungsgesetzes, das zuletzt durch Artikel 12 des Gesetzes vom 19. Dezember 2007 (BGBl. I S. 3024) geändert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BITV 2.0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https://recht.nulegal.eu/gesetze/BITV%202.0/eingangsformel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